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8A6B3B" w14:textId="372CB864" w:rsidR="00BC50A9" w:rsidRPr="00C35365" w:rsidRDefault="00453090" w:rsidP="00AD55DF">
      <w:pPr>
        <w:spacing w:after="0" w:line="276" w:lineRule="auto"/>
        <w:jc w:val="center"/>
        <w:rPr>
          <w:rFonts w:ascii="Book Antiqua" w:eastAsia="Calibri" w:hAnsi="Book Antiqua"/>
          <w:sz w:val="28"/>
          <w:szCs w:val="28"/>
          <w:lang w:val="af-ZA" w:eastAsia="af-ZA"/>
        </w:rPr>
      </w:pPr>
      <w:r w:rsidRPr="00C35365">
        <w:rPr>
          <w:rFonts w:ascii="Book Antiqua" w:eastAsia="Calibri" w:hAnsi="Book Antiqua"/>
          <w:b/>
          <w:bCs/>
          <w:sz w:val="28"/>
          <w:szCs w:val="28"/>
          <w:lang w:val="af-ZA" w:eastAsia="af-ZA"/>
        </w:rPr>
        <w:t>A Pastoral Care Approach to Child Sexual Abuse in Ghana: A Theological Reflection Informed by a Relational View of the Trinity</w:t>
      </w:r>
    </w:p>
    <w:p w14:paraId="4ED4CF7C" w14:textId="77777777" w:rsidR="0077525E" w:rsidRDefault="0077525E" w:rsidP="00AD55DF">
      <w:pPr>
        <w:spacing w:after="0" w:line="276" w:lineRule="auto"/>
        <w:rPr>
          <w:rFonts w:ascii="Book Antiqua" w:eastAsia="Calibri" w:hAnsi="Book Antiqua"/>
          <w:b/>
          <w:bCs/>
          <w:lang w:val="af-ZA" w:eastAsia="af-ZA"/>
        </w:rPr>
      </w:pPr>
    </w:p>
    <w:p w14:paraId="7C280FAB" w14:textId="3E3F4A2A" w:rsidR="00C35365" w:rsidRPr="00C35365" w:rsidRDefault="00C35365" w:rsidP="00AD55DF">
      <w:pPr>
        <w:spacing w:after="0" w:line="276" w:lineRule="auto"/>
        <w:jc w:val="center"/>
        <w:rPr>
          <w:rFonts w:ascii="Book Antiqua" w:eastAsia="Calibri" w:hAnsi="Book Antiqua"/>
          <w:lang w:val="af-ZA" w:eastAsia="af-ZA"/>
        </w:rPr>
      </w:pPr>
      <w:r w:rsidRPr="00C35365">
        <w:rPr>
          <w:rFonts w:ascii="Book Antiqua" w:eastAsia="Calibri" w:hAnsi="Book Antiqua"/>
          <w:lang w:val="af-ZA" w:eastAsia="af-ZA"/>
        </w:rPr>
        <w:t>Ebenezer Tetteh Kpalam</w:t>
      </w:r>
    </w:p>
    <w:p w14:paraId="7F30758E" w14:textId="49AAB12A" w:rsidR="00BC50A9" w:rsidRPr="00190012" w:rsidRDefault="00453090" w:rsidP="003F6FA1">
      <w:pPr>
        <w:spacing w:after="0" w:line="480" w:lineRule="auto"/>
        <w:rPr>
          <w:rFonts w:ascii="Book Antiqua" w:eastAsia="Calibri" w:hAnsi="Book Antiqua"/>
          <w:b/>
          <w:bCs/>
          <w:lang w:val="af-ZA" w:eastAsia="af-ZA"/>
        </w:rPr>
      </w:pPr>
      <w:r w:rsidRPr="00190012">
        <w:rPr>
          <w:rFonts w:ascii="Book Antiqua" w:eastAsia="Calibri" w:hAnsi="Book Antiqua"/>
          <w:b/>
          <w:bCs/>
          <w:lang w:val="af-ZA" w:eastAsia="af-ZA"/>
        </w:rPr>
        <w:t>Abstract</w:t>
      </w:r>
    </w:p>
    <w:p w14:paraId="39E359AB" w14:textId="6997F813" w:rsidR="00DC6E15" w:rsidRPr="00CD6AF7" w:rsidRDefault="009C7F1C" w:rsidP="00CD6AF7">
      <w:pPr>
        <w:spacing w:line="276" w:lineRule="auto"/>
        <w:jc w:val="both"/>
        <w:rPr>
          <w:rFonts w:ascii="Book Antiqua" w:eastAsia="Calibri" w:hAnsi="Book Antiqua"/>
          <w:lang w:val="af-ZA" w:eastAsia="af-ZA"/>
        </w:rPr>
      </w:pPr>
      <w:r>
        <w:rPr>
          <w:rFonts w:ascii="Book Antiqua" w:eastAsia="Calibri" w:hAnsi="Book Antiqua"/>
          <w:lang w:val="af-ZA" w:eastAsia="af-ZA"/>
        </w:rPr>
        <w:t xml:space="preserve">Child sexual abuse (CSA) is both a moral transgression and a criminal offence, with consequences that reverberate throughout the child’s life and across the family, the community, and the nation. In Ghana, CSA is documented as pervasive across social institutions, including faith communities, yet it has received comparatively little sustained theological attention. </w:t>
      </w:r>
      <w:r w:rsidR="002D4DC7">
        <w:rPr>
          <w:rFonts w:ascii="Book Antiqua" w:eastAsia="Calibri" w:hAnsi="Book Antiqua"/>
          <w:lang w:val="af-ZA" w:eastAsia="af-ZA"/>
        </w:rPr>
        <w:t>This article develops a theological-pastoral response to CSA in the Ghanaian context, drawing on a relational understanding of the Trinity. Using Holland and Henriot's pastoral circle as an integrative method, the study situates practical theology in conversation with trinitarian doctrine to transform ecclesial praxis and Christian spirituality in relation to CSA. It argues that a relational doctrine of the Trinity provides a robust theological foundation for both a pastoral anthropology of children and an ecclesiology grounded in mutuality, equality, and interconnectedness—one capable of flattening entrenched power gradients and redirecting power towards life-giving ends among persons of equal worth.</w:t>
      </w:r>
    </w:p>
    <w:p w14:paraId="7C09654F" w14:textId="01734A0C" w:rsidR="001E73E6" w:rsidRDefault="00453090" w:rsidP="00CD6AF7">
      <w:pPr>
        <w:spacing w:line="276" w:lineRule="auto"/>
        <w:jc w:val="both"/>
        <w:rPr>
          <w:rFonts w:ascii="Book Antiqua" w:eastAsia="Calibri" w:hAnsi="Book Antiqua"/>
          <w:lang w:val="af-ZA" w:eastAsia="af-ZA"/>
        </w:rPr>
      </w:pPr>
      <w:r w:rsidRPr="00190012">
        <w:rPr>
          <w:rFonts w:ascii="Book Antiqua" w:eastAsia="Calibri" w:hAnsi="Book Antiqua"/>
          <w:b/>
          <w:bCs/>
          <w:lang w:val="af-ZA" w:eastAsia="af-ZA"/>
        </w:rPr>
        <w:t xml:space="preserve">Keywords: </w:t>
      </w:r>
      <w:r w:rsidR="00912564">
        <w:rPr>
          <w:rFonts w:ascii="Book Antiqua" w:eastAsia="Calibri" w:hAnsi="Book Antiqua"/>
          <w:lang w:val="af-ZA" w:eastAsia="af-ZA"/>
        </w:rPr>
        <w:t>C</w:t>
      </w:r>
      <w:r w:rsidRPr="00190012">
        <w:rPr>
          <w:rFonts w:ascii="Book Antiqua" w:eastAsia="Calibri" w:hAnsi="Book Antiqua"/>
          <w:lang w:val="af-ZA" w:eastAsia="af-ZA"/>
        </w:rPr>
        <w:t>hild sexual abuse</w:t>
      </w:r>
      <w:r w:rsidR="00912564">
        <w:rPr>
          <w:rFonts w:ascii="Book Antiqua" w:eastAsia="Calibri" w:hAnsi="Book Antiqua"/>
          <w:lang w:val="af-ZA" w:eastAsia="af-ZA"/>
        </w:rPr>
        <w:t xml:space="preserve">, </w:t>
      </w:r>
      <w:r w:rsidRPr="00190012">
        <w:rPr>
          <w:rFonts w:ascii="Book Antiqua" w:eastAsia="Calibri" w:hAnsi="Book Antiqua"/>
          <w:lang w:val="af-ZA" w:eastAsia="af-ZA"/>
        </w:rPr>
        <w:t xml:space="preserve"> </w:t>
      </w:r>
      <w:r w:rsidR="00912564">
        <w:rPr>
          <w:rFonts w:ascii="Book Antiqua" w:eastAsia="Calibri" w:hAnsi="Book Antiqua"/>
          <w:lang w:val="af-ZA" w:eastAsia="af-ZA"/>
        </w:rPr>
        <w:t>C</w:t>
      </w:r>
      <w:r w:rsidRPr="00190012">
        <w:rPr>
          <w:rFonts w:ascii="Book Antiqua" w:eastAsia="Calibri" w:hAnsi="Book Antiqua"/>
          <w:lang w:val="af-ZA" w:eastAsia="af-ZA"/>
        </w:rPr>
        <w:t>hild theology</w:t>
      </w:r>
      <w:r w:rsidR="00912564">
        <w:rPr>
          <w:rFonts w:ascii="Book Antiqua" w:eastAsia="Calibri" w:hAnsi="Book Antiqua"/>
          <w:lang w:val="af-ZA" w:eastAsia="af-ZA"/>
        </w:rPr>
        <w:t>, F</w:t>
      </w:r>
      <w:r w:rsidRPr="00190012">
        <w:rPr>
          <w:rFonts w:ascii="Book Antiqua" w:eastAsia="Calibri" w:hAnsi="Book Antiqua"/>
          <w:lang w:val="af-ZA" w:eastAsia="af-ZA"/>
        </w:rPr>
        <w:t>aith community</w:t>
      </w:r>
      <w:r w:rsidR="00912564">
        <w:rPr>
          <w:rFonts w:ascii="Book Antiqua" w:eastAsia="Calibri" w:hAnsi="Book Antiqua"/>
          <w:lang w:val="af-ZA" w:eastAsia="af-ZA"/>
        </w:rPr>
        <w:t>,</w:t>
      </w:r>
      <w:r w:rsidRPr="00190012">
        <w:rPr>
          <w:rFonts w:ascii="Book Antiqua" w:eastAsia="Calibri" w:hAnsi="Book Antiqua"/>
          <w:lang w:val="af-ZA" w:eastAsia="af-ZA"/>
        </w:rPr>
        <w:t xml:space="preserve"> </w:t>
      </w:r>
      <w:r w:rsidR="00912564">
        <w:rPr>
          <w:rFonts w:ascii="Book Antiqua" w:eastAsia="Calibri" w:hAnsi="Book Antiqua"/>
          <w:lang w:val="af-ZA" w:eastAsia="af-ZA"/>
        </w:rPr>
        <w:t>P</w:t>
      </w:r>
      <w:r w:rsidRPr="00190012">
        <w:rPr>
          <w:rFonts w:ascii="Book Antiqua" w:eastAsia="Calibri" w:hAnsi="Book Antiqua"/>
          <w:lang w:val="af-ZA" w:eastAsia="af-ZA"/>
        </w:rPr>
        <w:t>astoral care</w:t>
      </w:r>
      <w:r w:rsidR="00912564">
        <w:rPr>
          <w:rFonts w:ascii="Book Antiqua" w:eastAsia="Calibri" w:hAnsi="Book Antiqua"/>
          <w:lang w:val="af-ZA" w:eastAsia="af-ZA"/>
        </w:rPr>
        <w:t>,</w:t>
      </w:r>
      <w:r w:rsidRPr="00190012">
        <w:rPr>
          <w:rFonts w:ascii="Book Antiqua" w:eastAsia="Calibri" w:hAnsi="Book Antiqua"/>
          <w:lang w:val="af-ZA" w:eastAsia="af-ZA"/>
        </w:rPr>
        <w:t xml:space="preserve"> </w:t>
      </w:r>
      <w:r w:rsidR="00912564">
        <w:rPr>
          <w:rFonts w:ascii="Book Antiqua" w:eastAsia="Calibri" w:hAnsi="Book Antiqua"/>
          <w:lang w:val="af-ZA" w:eastAsia="af-ZA"/>
        </w:rPr>
        <w:t>R</w:t>
      </w:r>
      <w:r w:rsidRPr="00190012">
        <w:rPr>
          <w:rFonts w:ascii="Book Antiqua" w:eastAsia="Calibri" w:hAnsi="Book Antiqua"/>
          <w:lang w:val="af-ZA" w:eastAsia="af-ZA"/>
        </w:rPr>
        <w:t>elational Trinity</w:t>
      </w:r>
    </w:p>
    <w:p w14:paraId="5EB0E690" w14:textId="542DD50F" w:rsidR="009D3A02" w:rsidRPr="00EC4C7B" w:rsidRDefault="00FE1E00">
      <w:pPr>
        <w:spacing w:after="0" w:line="276" w:lineRule="auto"/>
        <w:rPr>
          <w:rFonts w:eastAsia="Calibri"/>
          <w:b/>
          <w:bCs/>
          <w:lang w:val="af-ZA" w:eastAsia="af-ZA"/>
        </w:rPr>
      </w:pPr>
      <w:r w:rsidRPr="00D44EB9">
        <w:rPr>
          <w:rFonts w:ascii="Book Antiqua" w:hAnsi="Book Antiqua"/>
          <w:b/>
          <w:bCs/>
        </w:rPr>
        <w:t>How to cite this article:</w:t>
      </w:r>
      <w:r w:rsidRPr="004273FA">
        <w:rPr>
          <w:rFonts w:ascii="Book Antiqua" w:hAnsi="Book Antiqua"/>
        </w:rPr>
        <w:t xml:space="preserve"> Kpalam</w:t>
      </w:r>
      <w:r w:rsidRPr="000C7ED1">
        <w:rPr>
          <w:rFonts w:ascii="Book Antiqua" w:hAnsi="Book Antiqua"/>
          <w:bCs/>
        </w:rPr>
        <w:t xml:space="preserve">, </w:t>
      </w:r>
      <w:r w:rsidRPr="004273FA">
        <w:rPr>
          <w:rFonts w:ascii="Book Antiqua" w:hAnsi="Book Antiqua"/>
        </w:rPr>
        <w:t>Ebenezer Tetteh</w:t>
      </w:r>
      <w:r w:rsidRPr="000C7ED1">
        <w:rPr>
          <w:rFonts w:ascii="Book Antiqua" w:hAnsi="Book Antiqua"/>
          <w:bCs/>
        </w:rPr>
        <w:t>.</w:t>
      </w:r>
      <w:r w:rsidRPr="004273FA">
        <w:rPr>
          <w:rFonts w:ascii="Book Antiqua" w:hAnsi="Book Antiqua"/>
        </w:rPr>
        <w:t xml:space="preserve"> </w:t>
      </w:r>
      <w:r w:rsidRPr="000C7ED1">
        <w:rPr>
          <w:rFonts w:ascii="Book Antiqua" w:hAnsi="Book Antiqua"/>
          <w:bCs/>
        </w:rPr>
        <w:t>“</w:t>
      </w:r>
      <w:r w:rsidRPr="004273FA">
        <w:rPr>
          <w:rFonts w:ascii="Book Antiqua" w:hAnsi="Book Antiqua"/>
        </w:rPr>
        <w:t>A Pastoral Care Approach to Child Sexual Abuse in Ghana: A Theological Reflection Informed by a Relational View of the Trinity</w:t>
      </w:r>
      <w:r w:rsidR="004273FA">
        <w:rPr>
          <w:rFonts w:ascii="Book Antiqua" w:hAnsi="Book Antiqua"/>
        </w:rPr>
        <w:t>.”</w:t>
      </w:r>
      <w:r>
        <w:rPr>
          <w:rFonts w:ascii="Book Antiqua" w:hAnsi="Book Antiqua"/>
          <w:bCs/>
        </w:rPr>
        <w:t xml:space="preserve"> </w:t>
      </w:r>
      <w:r w:rsidRPr="003F7A1A">
        <w:rPr>
          <w:rFonts w:ascii="Book Antiqua" w:hAnsi="Book Antiqua"/>
          <w:i/>
          <w:iCs/>
        </w:rPr>
        <w:t>Pentecost Journal of Theology and Mission</w:t>
      </w:r>
      <w:r w:rsidRPr="004273FA">
        <w:rPr>
          <w:rFonts w:ascii="Book Antiqua" w:hAnsi="Book Antiqua"/>
        </w:rPr>
        <w:t xml:space="preserve"> </w:t>
      </w:r>
      <w:r w:rsidRPr="003F7A1A">
        <w:rPr>
          <w:rFonts w:ascii="Book Antiqua" w:hAnsi="Book Antiqua"/>
        </w:rPr>
        <w:t xml:space="preserve">6, no. </w:t>
      </w:r>
      <w:r>
        <w:rPr>
          <w:rFonts w:ascii="Book Antiqua" w:hAnsi="Book Antiqua"/>
        </w:rPr>
        <w:t>2</w:t>
      </w:r>
      <w:r w:rsidRPr="004273FA">
        <w:rPr>
          <w:rFonts w:ascii="Book Antiqua" w:hAnsi="Book Antiqua"/>
        </w:rPr>
        <w:t xml:space="preserve"> </w:t>
      </w:r>
      <w:r w:rsidRPr="003F7A1A">
        <w:rPr>
          <w:rFonts w:ascii="Book Antiqua" w:hAnsi="Book Antiqua"/>
        </w:rPr>
        <w:t>(202</w:t>
      </w:r>
      <w:r>
        <w:rPr>
          <w:rFonts w:ascii="Book Antiqua" w:hAnsi="Book Antiqua"/>
        </w:rPr>
        <w:t>6</w:t>
      </w:r>
      <w:r w:rsidRPr="003F7A1A">
        <w:rPr>
          <w:rFonts w:ascii="Book Antiqua" w:hAnsi="Book Antiqua"/>
        </w:rPr>
        <w:t xml:space="preserve">): </w:t>
      </w:r>
      <w:r w:rsidR="00D37ED7">
        <w:rPr>
          <w:rFonts w:ascii="Book Antiqua" w:hAnsi="Book Antiqua"/>
        </w:rPr>
        <w:t>74</w:t>
      </w:r>
      <w:r w:rsidR="004273FA">
        <w:rPr>
          <w:rFonts w:ascii="Book Antiqua" w:hAnsi="Book Antiqua"/>
        </w:rPr>
        <w:t>–</w:t>
      </w:r>
      <w:r w:rsidR="00A1238B">
        <w:rPr>
          <w:rFonts w:ascii="Book Antiqua" w:hAnsi="Book Antiqua"/>
        </w:rPr>
        <w:t>90</w:t>
      </w:r>
      <w:r w:rsidRPr="003F7A1A">
        <w:rPr>
          <w:rFonts w:ascii="Book Antiqua" w:hAnsi="Book Antiqua"/>
        </w:rPr>
        <w:t>.</w:t>
      </w:r>
    </w:p>
    <w:p w14:paraId="3CC64C0D" w14:textId="77777777" w:rsidR="000A3BCA" w:rsidRPr="00190012" w:rsidRDefault="000A3BCA" w:rsidP="00D45CE8">
      <w:pPr>
        <w:spacing w:after="0" w:line="276" w:lineRule="auto"/>
        <w:jc w:val="both"/>
        <w:rPr>
          <w:rFonts w:ascii="Book Antiqua" w:eastAsia="Calibri" w:hAnsi="Book Antiqua"/>
          <w:lang w:val="af-ZA" w:eastAsia="af-ZA"/>
        </w:rPr>
      </w:pPr>
    </w:p>
    <w:p w14:paraId="67917AA3" w14:textId="15D56E3E" w:rsidR="00453090" w:rsidRPr="00D45CE8" w:rsidRDefault="00453090" w:rsidP="00D45CE8">
      <w:pPr>
        <w:spacing w:line="276" w:lineRule="auto"/>
        <w:rPr>
          <w:rFonts w:ascii="Book Antiqua" w:hAnsi="Book Antiqua"/>
          <w:b/>
          <w:bCs/>
          <w:lang w:val="af-ZA" w:eastAsia="af-ZA"/>
        </w:rPr>
      </w:pPr>
      <w:r w:rsidRPr="00D45CE8">
        <w:rPr>
          <w:rFonts w:ascii="Book Antiqua" w:hAnsi="Book Antiqua"/>
          <w:b/>
          <w:bCs/>
          <w:lang w:val="af-ZA" w:eastAsia="af-ZA"/>
        </w:rPr>
        <w:t>Introduction</w:t>
      </w:r>
    </w:p>
    <w:p w14:paraId="0BECC371" w14:textId="47BAF406" w:rsidR="00BC50A9" w:rsidRPr="00D45CE8" w:rsidRDefault="00453090" w:rsidP="00E64CA5">
      <w:pPr>
        <w:spacing w:line="276" w:lineRule="auto"/>
        <w:jc w:val="both"/>
        <w:rPr>
          <w:rFonts w:ascii="Book Antiqua" w:eastAsia="Calibri" w:hAnsi="Book Antiqua"/>
          <w:lang w:val="af-ZA" w:eastAsia="af-ZA"/>
        </w:rPr>
      </w:pPr>
      <w:r w:rsidRPr="00D45CE8">
        <w:rPr>
          <w:rFonts w:ascii="Book Antiqua" w:eastAsia="Calibri" w:hAnsi="Book Antiqua"/>
          <w:lang w:val="af-ZA" w:eastAsia="af-ZA"/>
        </w:rPr>
        <w:t>Child sexual abuse (CSA) constitutes a global public health crisis whose effects are pervasive, cumulative, and frequently lifelong for survivors, families, and the wider society.</w:t>
      </w:r>
      <w:r w:rsidR="00DC6E15" w:rsidRPr="00D45CE8">
        <w:rPr>
          <w:rStyle w:val="FootnoteReference"/>
          <w:rFonts w:ascii="Book Antiqua" w:eastAsia="Calibri" w:hAnsi="Book Antiqua"/>
          <w:lang w:val="af-ZA" w:eastAsia="af-ZA"/>
        </w:rPr>
        <w:footnoteReference w:id="1"/>
      </w:r>
      <w:r w:rsidR="00DC6E15" w:rsidRPr="006A5069">
        <w:rPr>
          <w:rFonts w:ascii="Book Antiqua" w:eastAsia="Calibri" w:hAnsi="Book Antiqua"/>
          <w:vertAlign w:val="superscript"/>
          <w:lang w:val="af-ZA" w:eastAsia="af-ZA"/>
        </w:rPr>
        <w:t>,</w:t>
      </w:r>
      <w:r w:rsidR="00DC6E15" w:rsidRPr="00D45CE8">
        <w:rPr>
          <w:rStyle w:val="FootnoteReference"/>
          <w:rFonts w:ascii="Book Antiqua" w:eastAsia="Calibri" w:hAnsi="Book Antiqua"/>
          <w:lang w:val="af-ZA" w:eastAsia="af-ZA"/>
        </w:rPr>
        <w:footnoteReference w:id="2"/>
      </w:r>
      <w:r w:rsidRPr="00D45CE8">
        <w:rPr>
          <w:rFonts w:ascii="Book Antiqua" w:eastAsia="Calibri" w:hAnsi="Book Antiqua"/>
          <w:lang w:val="af-ZA" w:eastAsia="af-ZA"/>
        </w:rPr>
        <w:t xml:space="preserve"> Scripture itself situates such violation within the register of sin, affecting “both spirit and body” (1 Cor. 6:18), a position broadly mirrored in Ghanaian civil law, where CSA is classified as a criminal offence. The scholarly literature on CSA</w:t>
      </w:r>
      <w:r w:rsidR="004D7521">
        <w:rPr>
          <w:rFonts w:ascii="Book Antiqua" w:eastAsia="Calibri" w:hAnsi="Book Antiqua"/>
          <w:lang w:val="af-ZA" w:eastAsia="af-ZA"/>
        </w:rPr>
        <w:t xml:space="preserve">, however, has </w:t>
      </w:r>
      <w:r w:rsidRPr="00D45CE8">
        <w:rPr>
          <w:rFonts w:ascii="Book Antiqua" w:eastAsia="Calibri" w:hAnsi="Book Antiqua"/>
          <w:lang w:val="af-ZA" w:eastAsia="af-ZA"/>
        </w:rPr>
        <w:t>developed unevenly. Sociological, economic, and anthropological analyses have</w:t>
      </w:r>
      <w:r w:rsidR="00A37741">
        <w:rPr>
          <w:rFonts w:ascii="Book Antiqua" w:eastAsia="Calibri" w:hAnsi="Book Antiqua"/>
          <w:lang w:val="af-ZA" w:eastAsia="af-ZA"/>
        </w:rPr>
        <w:t xml:space="preserve"> </w:t>
      </w:r>
      <w:r w:rsidRPr="00D45CE8">
        <w:rPr>
          <w:rFonts w:ascii="Book Antiqua" w:eastAsia="Calibri" w:hAnsi="Book Antiqua"/>
          <w:lang w:val="af-ZA" w:eastAsia="af-ZA"/>
        </w:rPr>
        <w:lastRenderedPageBreak/>
        <w:t>proliferated chiefly within Western contexts,</w:t>
      </w:r>
      <w:r w:rsidR="00B120E7" w:rsidRPr="00D45CE8">
        <w:rPr>
          <w:rStyle w:val="FootnoteReference"/>
          <w:rFonts w:ascii="Book Antiqua" w:eastAsia="Calibri" w:hAnsi="Book Antiqua"/>
          <w:lang w:val="af-ZA" w:eastAsia="af-ZA"/>
        </w:rPr>
        <w:footnoteReference w:id="3"/>
      </w:r>
      <w:r w:rsidR="00B120E7" w:rsidRPr="00CD361D">
        <w:rPr>
          <w:rFonts w:ascii="Book Antiqua" w:eastAsia="Calibri" w:hAnsi="Book Antiqua"/>
          <w:vertAlign w:val="superscript"/>
          <w:lang w:val="af-ZA" w:eastAsia="af-ZA"/>
        </w:rPr>
        <w:t>,</w:t>
      </w:r>
      <w:r w:rsidR="00B120E7" w:rsidRPr="00D45CE8">
        <w:rPr>
          <w:rStyle w:val="FootnoteReference"/>
          <w:rFonts w:ascii="Book Antiqua" w:eastAsia="Calibri" w:hAnsi="Book Antiqua"/>
          <w:lang w:val="af-ZA" w:eastAsia="af-ZA"/>
        </w:rPr>
        <w:footnoteReference w:id="4"/>
      </w:r>
      <w:r w:rsidRPr="00D45CE8">
        <w:rPr>
          <w:rFonts w:ascii="Book Antiqua" w:eastAsia="Calibri" w:hAnsi="Book Antiqua"/>
          <w:lang w:val="af-ZA" w:eastAsia="af-ZA"/>
        </w:rPr>
        <w:t xml:space="preserve"> and even where pastoral-theological engagement with CSA exists, it remains overwhelmingly shaped by Western frameworks and case material.</w:t>
      </w:r>
      <w:r w:rsidR="0094714C" w:rsidRPr="00D45CE8">
        <w:rPr>
          <w:rStyle w:val="FootnoteReference"/>
          <w:rFonts w:ascii="Book Antiqua" w:eastAsia="Calibri" w:hAnsi="Book Antiqua"/>
          <w:lang w:val="af-ZA" w:eastAsia="af-ZA"/>
        </w:rPr>
        <w:footnoteReference w:id="5"/>
      </w:r>
      <w:r w:rsidR="0094714C" w:rsidRPr="00CD361D">
        <w:rPr>
          <w:rFonts w:ascii="Book Antiqua" w:eastAsia="Calibri" w:hAnsi="Book Antiqua"/>
          <w:vertAlign w:val="superscript"/>
          <w:lang w:val="af-ZA" w:eastAsia="af-ZA"/>
        </w:rPr>
        <w:t>,</w:t>
      </w:r>
      <w:r w:rsidR="0094714C" w:rsidRPr="00D45CE8">
        <w:rPr>
          <w:rStyle w:val="FootnoteReference"/>
          <w:rFonts w:ascii="Book Antiqua" w:eastAsia="Calibri" w:hAnsi="Book Antiqua"/>
          <w:lang w:val="af-ZA" w:eastAsia="af-ZA"/>
        </w:rPr>
        <w:footnoteReference w:id="6"/>
      </w:r>
      <w:r w:rsidRPr="00D45CE8">
        <w:rPr>
          <w:rFonts w:ascii="Book Antiqua" w:eastAsia="Calibri" w:hAnsi="Book Antiqua"/>
          <w:lang w:val="af-ZA" w:eastAsia="af-ZA"/>
        </w:rPr>
        <w:t xml:space="preserve"> Within Ghana specifically, existing scholarship has interrogated the phenomenon through socio-cultural, psychological, and political lenses, leaving its theological dimensions comparatively unexamined.</w:t>
      </w:r>
      <w:r w:rsidR="0094714C" w:rsidRPr="00D45CE8">
        <w:rPr>
          <w:rStyle w:val="FootnoteReference"/>
          <w:rFonts w:ascii="Book Antiqua" w:eastAsia="Calibri" w:hAnsi="Book Antiqua"/>
          <w:lang w:val="af-ZA" w:eastAsia="af-ZA"/>
        </w:rPr>
        <w:footnoteReference w:id="7"/>
      </w:r>
      <w:r w:rsidR="0094714C" w:rsidRPr="00A96159">
        <w:rPr>
          <w:rFonts w:ascii="Book Antiqua" w:eastAsia="Calibri" w:hAnsi="Book Antiqua"/>
          <w:vertAlign w:val="superscript"/>
          <w:lang w:val="af-ZA" w:eastAsia="af-ZA"/>
        </w:rPr>
        <w:t>,</w:t>
      </w:r>
      <w:r w:rsidR="00A26D9D" w:rsidRPr="00D45CE8">
        <w:rPr>
          <w:rStyle w:val="FootnoteReference"/>
          <w:rFonts w:ascii="Book Antiqua" w:eastAsia="Calibri" w:hAnsi="Book Antiqua"/>
          <w:lang w:val="af-ZA" w:eastAsia="af-ZA"/>
        </w:rPr>
        <w:footnoteReference w:id="8"/>
      </w:r>
    </w:p>
    <w:p w14:paraId="00AA8345" w14:textId="3C3C442A" w:rsidR="00BC50A9" w:rsidRPr="00D45CE8" w:rsidRDefault="00453090" w:rsidP="00E64CA5">
      <w:pPr>
        <w:spacing w:line="276" w:lineRule="auto"/>
        <w:jc w:val="both"/>
        <w:rPr>
          <w:rFonts w:ascii="Book Antiqua" w:eastAsia="Calibri" w:hAnsi="Book Antiqua"/>
          <w:lang w:val="af-ZA" w:eastAsia="af-ZA"/>
        </w:rPr>
      </w:pPr>
      <w:r w:rsidRPr="00D45CE8">
        <w:rPr>
          <w:rFonts w:ascii="Book Antiqua" w:eastAsia="Calibri" w:hAnsi="Book Antiqua"/>
          <w:lang w:val="af-ZA" w:eastAsia="af-ZA"/>
        </w:rPr>
        <w:t>This lacuna is significant, since African theological anthropology offers a distinctive vantage point from which to interpret the abuse of children. Mtata situates child abuse within “the social position children have occupied in the hierarchy of the construction of personhood in African thought</w:t>
      </w:r>
      <w:r w:rsidR="000B764A">
        <w:rPr>
          <w:rFonts w:ascii="Book Antiqua" w:eastAsia="Calibri" w:hAnsi="Book Antiqua"/>
          <w:lang w:val="af-ZA" w:eastAsia="af-ZA"/>
        </w:rPr>
        <w:t>,</w:t>
      </w:r>
      <w:r w:rsidRPr="00D45CE8">
        <w:rPr>
          <w:rFonts w:ascii="Book Antiqua" w:eastAsia="Calibri" w:hAnsi="Book Antiqua"/>
          <w:lang w:val="af-ZA" w:eastAsia="af-ZA"/>
        </w:rPr>
        <w:t>”</w:t>
      </w:r>
      <w:r w:rsidR="0094714C" w:rsidRPr="00D45CE8">
        <w:rPr>
          <w:rStyle w:val="FootnoteReference"/>
          <w:rFonts w:ascii="Book Antiqua" w:eastAsia="Calibri" w:hAnsi="Book Antiqua"/>
          <w:lang w:val="af-ZA" w:eastAsia="af-ZA"/>
        </w:rPr>
        <w:footnoteReference w:id="9"/>
      </w:r>
      <w:r w:rsidRPr="00D45CE8">
        <w:rPr>
          <w:rFonts w:ascii="Book Antiqua" w:eastAsia="Calibri" w:hAnsi="Book Antiqua"/>
          <w:lang w:val="af-ZA" w:eastAsia="af-ZA"/>
        </w:rPr>
        <w:t xml:space="preserve"> a formulation consonant with Reynaert's broader observation that child abuse is fundamentally an abuse of power.</w:t>
      </w:r>
      <w:r w:rsidR="002D3102" w:rsidRPr="00D45CE8">
        <w:rPr>
          <w:rStyle w:val="FootnoteReference"/>
          <w:rFonts w:ascii="Book Antiqua" w:eastAsia="Calibri" w:hAnsi="Book Antiqua"/>
          <w:lang w:val="af-ZA" w:eastAsia="af-ZA"/>
        </w:rPr>
        <w:footnoteReference w:id="10"/>
      </w:r>
      <w:r w:rsidRPr="00D45CE8">
        <w:rPr>
          <w:rFonts w:ascii="Book Antiqua" w:eastAsia="Calibri" w:hAnsi="Book Antiqua"/>
          <w:lang w:val="af-ZA" w:eastAsia="af-ZA"/>
        </w:rPr>
        <w:t xml:space="preserve"> On this reading, the hierarchical ordering of personhood that has historically structured African ecclesial and theological reflection is not incidental to the problem of CSA but constitutive of it: as Mtata contends, “a faulty anthropology produces a faulty theology, and a faulty theology produces a skewed anthropology.”</w:t>
      </w:r>
      <w:r w:rsidR="00B248C3" w:rsidRPr="00D45CE8">
        <w:rPr>
          <w:rStyle w:val="FootnoteReference"/>
          <w:rFonts w:ascii="Book Antiqua" w:eastAsia="Calibri" w:hAnsi="Book Antiqua"/>
          <w:lang w:val="af-ZA" w:eastAsia="af-ZA"/>
        </w:rPr>
        <w:footnoteReference w:id="11"/>
      </w:r>
      <w:r w:rsidRPr="00D45CE8">
        <w:rPr>
          <w:rFonts w:ascii="Book Antiqua" w:eastAsia="Calibri" w:hAnsi="Book Antiqua"/>
          <w:lang w:val="af-ZA" w:eastAsia="af-ZA"/>
        </w:rPr>
        <w:t xml:space="preserve"> Mtata further observes that the marginalisation of children within African communitarian ethics is “sometimes rationalized by using the language of ‘care’ and ‘protection’ while the real value of childhood is not recognised</w:t>
      </w:r>
      <w:r w:rsidR="00E82E40">
        <w:rPr>
          <w:rFonts w:ascii="Book Antiqua" w:eastAsia="Calibri" w:hAnsi="Book Antiqua"/>
          <w:lang w:val="af-ZA" w:eastAsia="af-ZA"/>
        </w:rPr>
        <w:t>.</w:t>
      </w:r>
      <w:r w:rsidRPr="00D45CE8">
        <w:rPr>
          <w:rFonts w:ascii="Book Antiqua" w:eastAsia="Calibri" w:hAnsi="Book Antiqua"/>
          <w:lang w:val="af-ZA" w:eastAsia="af-ZA"/>
        </w:rPr>
        <w:t>”</w:t>
      </w:r>
      <w:r w:rsidR="00B248C3" w:rsidRPr="00D45CE8">
        <w:rPr>
          <w:rStyle w:val="FootnoteReference"/>
          <w:rFonts w:ascii="Book Antiqua" w:eastAsia="Calibri" w:hAnsi="Book Antiqua"/>
          <w:lang w:val="af-ZA" w:eastAsia="af-ZA"/>
        </w:rPr>
        <w:footnoteReference w:id="12"/>
      </w:r>
      <w:r w:rsidRPr="00D45CE8">
        <w:rPr>
          <w:rFonts w:ascii="Book Antiqua" w:eastAsia="Calibri" w:hAnsi="Book Antiqua"/>
          <w:lang w:val="af-ZA" w:eastAsia="af-ZA"/>
        </w:rPr>
        <w:t xml:space="preserve"> </w:t>
      </w:r>
      <w:r w:rsidR="00E82E40">
        <w:rPr>
          <w:rFonts w:ascii="Book Antiqua" w:eastAsia="Calibri" w:hAnsi="Book Antiqua"/>
          <w:lang w:val="af-ZA" w:eastAsia="af-ZA"/>
        </w:rPr>
        <w:t>An</w:t>
      </w:r>
      <w:r w:rsidRPr="00D45CE8">
        <w:rPr>
          <w:rFonts w:ascii="Book Antiqua" w:eastAsia="Calibri" w:hAnsi="Book Antiqua"/>
          <w:lang w:val="af-ZA" w:eastAsia="af-ZA"/>
        </w:rPr>
        <w:t xml:space="preserve"> insight that helps explain why perpetrators of CSA are so often precisely those figures</w:t>
      </w:r>
      <w:r w:rsidR="00B248C3" w:rsidRPr="00D45CE8">
        <w:rPr>
          <w:rFonts w:ascii="Book Antiqua" w:eastAsia="Calibri" w:hAnsi="Book Antiqua"/>
          <w:lang w:val="af-ZA" w:eastAsia="af-ZA"/>
        </w:rPr>
        <w:t xml:space="preserve"> like </w:t>
      </w:r>
      <w:r w:rsidRPr="00D45CE8">
        <w:rPr>
          <w:rFonts w:ascii="Book Antiqua" w:eastAsia="Calibri" w:hAnsi="Book Antiqua"/>
          <w:lang w:val="af-ZA" w:eastAsia="af-ZA"/>
        </w:rPr>
        <w:t xml:space="preserve">parents, teachers, </w:t>
      </w:r>
      <w:r w:rsidR="00B248C3" w:rsidRPr="00D45CE8">
        <w:rPr>
          <w:rFonts w:ascii="Book Antiqua" w:eastAsia="Calibri" w:hAnsi="Book Antiqua"/>
          <w:lang w:val="af-ZA" w:eastAsia="af-ZA"/>
        </w:rPr>
        <w:t xml:space="preserve">and </w:t>
      </w:r>
      <w:r w:rsidRPr="00D45CE8">
        <w:rPr>
          <w:rFonts w:ascii="Book Antiqua" w:eastAsia="Calibri" w:hAnsi="Book Antiqua"/>
          <w:lang w:val="af-ZA" w:eastAsia="af-ZA"/>
        </w:rPr>
        <w:t>church volunteers</w:t>
      </w:r>
      <w:r w:rsidR="00B248C3" w:rsidRPr="00D45CE8">
        <w:rPr>
          <w:rFonts w:ascii="Book Antiqua" w:eastAsia="Calibri" w:hAnsi="Book Antiqua"/>
          <w:lang w:val="af-ZA" w:eastAsia="af-ZA"/>
        </w:rPr>
        <w:t xml:space="preserve"> </w:t>
      </w:r>
      <w:r w:rsidRPr="00D45CE8">
        <w:rPr>
          <w:rFonts w:ascii="Book Antiqua" w:eastAsia="Calibri" w:hAnsi="Book Antiqua"/>
          <w:lang w:val="af-ZA" w:eastAsia="af-ZA"/>
        </w:rPr>
        <w:t>entrusted with a child's care.</w:t>
      </w:r>
    </w:p>
    <w:p w14:paraId="11652E5A" w14:textId="67622518" w:rsidR="00BC50A9" w:rsidRPr="00E64CA5" w:rsidRDefault="00453090" w:rsidP="00FA3ABC">
      <w:pPr>
        <w:spacing w:line="276" w:lineRule="auto"/>
        <w:jc w:val="both"/>
        <w:rPr>
          <w:rFonts w:ascii="Book Antiqua" w:eastAsia="Calibri" w:hAnsi="Book Antiqua"/>
          <w:lang w:val="af-ZA" w:eastAsia="af-ZA"/>
        </w:rPr>
      </w:pPr>
      <w:r w:rsidRPr="00D45CE8">
        <w:rPr>
          <w:rFonts w:ascii="Book Antiqua" w:eastAsia="Calibri" w:hAnsi="Book Antiqua"/>
          <w:lang w:val="af-ZA" w:eastAsia="af-ZA"/>
        </w:rPr>
        <w:t>Mtata extends this analysis to argue that a hierarchical construction of personhood marginalises not only children but “all those considered as not being fully human, such as the physically or mentally disabled or those considered different,”</w:t>
      </w:r>
      <w:r w:rsidR="00F27044" w:rsidRPr="00D45CE8">
        <w:rPr>
          <w:rStyle w:val="FootnoteReference"/>
          <w:rFonts w:ascii="Book Antiqua" w:eastAsia="Calibri" w:hAnsi="Book Antiqua"/>
          <w:lang w:val="af-ZA" w:eastAsia="af-ZA"/>
        </w:rPr>
        <w:footnoteReference w:id="13"/>
      </w:r>
      <w:r w:rsidRPr="00D45CE8">
        <w:rPr>
          <w:rFonts w:ascii="Book Antiqua" w:eastAsia="Calibri" w:hAnsi="Book Antiqua"/>
          <w:lang w:val="af-ZA" w:eastAsia="af-ZA"/>
        </w:rPr>
        <w:t xml:space="preserve"> concluding that </w:t>
      </w:r>
      <w:r w:rsidRPr="00D45CE8">
        <w:rPr>
          <w:rFonts w:ascii="Book Antiqua" w:eastAsia="Calibri" w:hAnsi="Book Antiqua"/>
          <w:lang w:val="af-ZA" w:eastAsia="af-ZA"/>
        </w:rPr>
        <w:lastRenderedPageBreak/>
        <w:t>African theology can only adequately serve children and other vulnerable persons once it has confronted this hierarchical inheritance.</w:t>
      </w:r>
      <w:r w:rsidR="00F27044" w:rsidRPr="00D45CE8">
        <w:rPr>
          <w:rStyle w:val="FootnoteReference"/>
          <w:rFonts w:ascii="Book Antiqua" w:eastAsia="Calibri" w:hAnsi="Book Antiqua"/>
          <w:lang w:val="af-ZA" w:eastAsia="af-ZA"/>
        </w:rPr>
        <w:footnoteReference w:id="14"/>
      </w:r>
      <w:r w:rsidRPr="00D45CE8">
        <w:rPr>
          <w:rFonts w:ascii="Book Antiqua" w:eastAsia="Calibri" w:hAnsi="Book Antiqua"/>
          <w:lang w:val="af-ZA" w:eastAsia="af-ZA"/>
        </w:rPr>
        <w:t xml:space="preserve"> Because CSA is, by definition, a violation enacted within relationship, a theological response </w:t>
      </w:r>
      <w:r w:rsidR="004C41EE">
        <w:rPr>
          <w:rFonts w:ascii="Book Antiqua" w:eastAsia="Calibri" w:hAnsi="Book Antiqua"/>
          <w:lang w:val="af-ZA" w:eastAsia="af-ZA"/>
        </w:rPr>
        <w:t>is best grounded in</w:t>
      </w:r>
      <w:r w:rsidRPr="00D45CE8">
        <w:rPr>
          <w:rFonts w:ascii="Book Antiqua" w:eastAsia="Calibri" w:hAnsi="Book Antiqua"/>
          <w:lang w:val="af-ZA" w:eastAsia="af-ZA"/>
        </w:rPr>
        <w:t xml:space="preserve"> a doctrine that takes relationality as its starting point: the relational Trinity. This article accordingly develops a theological pastoral response to CSA in Ghana through a relational reading of trinitarian doctrine. It proceeds by outlining the relational view of the Trinity that undergirds the analysis, surveying the empirical landscape of CSA in Ghana, describing the study's methodology, and presenting findings organised around a trinitarian pastoral anthropology of children and an account of the church as a healing community, before concluding with implications for pastoral practice.</w:t>
      </w:r>
    </w:p>
    <w:p w14:paraId="0676F84A" w14:textId="73AD7BD2" w:rsidR="00453090" w:rsidRPr="00D45CE8" w:rsidRDefault="00453090" w:rsidP="00FA3ABC">
      <w:pPr>
        <w:spacing w:line="276" w:lineRule="auto"/>
        <w:rPr>
          <w:rFonts w:ascii="Book Antiqua" w:hAnsi="Book Antiqua"/>
          <w:b/>
          <w:bCs/>
          <w:lang w:val="af-ZA" w:eastAsia="af-ZA"/>
        </w:rPr>
      </w:pPr>
      <w:r w:rsidRPr="00D45CE8">
        <w:rPr>
          <w:rFonts w:ascii="Book Antiqua" w:hAnsi="Book Antiqua"/>
          <w:b/>
          <w:bCs/>
          <w:lang w:val="af-ZA" w:eastAsia="af-ZA"/>
        </w:rPr>
        <w:t>A Relational View of the Trinity</w:t>
      </w:r>
    </w:p>
    <w:p w14:paraId="317116E3" w14:textId="6C715BA5" w:rsidR="00BC50A9" w:rsidRPr="00D45CE8" w:rsidRDefault="00FA09FC" w:rsidP="00ED4E38">
      <w:pPr>
        <w:spacing w:line="276" w:lineRule="auto"/>
        <w:jc w:val="both"/>
        <w:rPr>
          <w:rFonts w:ascii="Book Antiqua" w:eastAsia="Calibri" w:hAnsi="Book Antiqua"/>
          <w:lang w:val="af-ZA" w:eastAsia="af-ZA"/>
        </w:rPr>
      </w:pPr>
      <w:r>
        <w:rPr>
          <w:rFonts w:ascii="Book Antiqua" w:eastAsia="Calibri" w:hAnsi="Book Antiqua"/>
          <w:lang w:val="af-ZA" w:eastAsia="af-ZA"/>
        </w:rPr>
        <w:t>Relationality names the web of interdependence within which human existence unfolds. Ackermann argues that human beings are “shaped and nurtured” by the quality of their relationships with others, so that community-mindedness itself becomes generative of growth and development</w:t>
      </w:r>
      <w:r w:rsidR="00453090" w:rsidRPr="00D45CE8">
        <w:rPr>
          <w:rFonts w:ascii="Book Antiqua" w:eastAsia="Calibri" w:hAnsi="Book Antiqua"/>
          <w:lang w:val="af-ZA" w:eastAsia="af-ZA"/>
        </w:rPr>
        <w:t>.</w:t>
      </w:r>
      <w:r w:rsidR="00F27044" w:rsidRPr="00D45CE8">
        <w:rPr>
          <w:rStyle w:val="FootnoteReference"/>
          <w:rFonts w:ascii="Book Antiqua" w:eastAsia="Calibri" w:hAnsi="Book Antiqua"/>
          <w:lang w:val="af-ZA" w:eastAsia="af-ZA"/>
        </w:rPr>
        <w:footnoteReference w:id="15"/>
      </w:r>
      <w:r w:rsidR="00453090" w:rsidRPr="00D45CE8">
        <w:rPr>
          <w:rFonts w:ascii="Book Antiqua" w:eastAsia="Calibri" w:hAnsi="Book Antiqua"/>
          <w:lang w:val="af-ZA" w:eastAsia="af-ZA"/>
        </w:rPr>
        <w:t xml:space="preserve"> Desmond Tutu makes a cognate theological claim, observing that persons are “made for complementarity,” endowed by God with distinct gifts precisely so that they might depend </w:t>
      </w:r>
      <w:r w:rsidR="00732188">
        <w:rPr>
          <w:rFonts w:ascii="Book Antiqua" w:eastAsia="Calibri" w:hAnsi="Book Antiqua"/>
          <w:lang w:val="af-ZA" w:eastAsia="af-ZA"/>
        </w:rPr>
        <w:t xml:space="preserve">on one another within a network of relationships </w:t>
      </w:r>
      <w:r w:rsidR="00453090" w:rsidRPr="00D45CE8">
        <w:rPr>
          <w:rFonts w:ascii="Book Antiqua" w:eastAsia="Calibri" w:hAnsi="Book Antiqua"/>
          <w:lang w:val="af-ZA" w:eastAsia="af-ZA"/>
        </w:rPr>
        <w:t>to express their humanity fully.</w:t>
      </w:r>
      <w:r w:rsidR="00F27044" w:rsidRPr="00D45CE8">
        <w:rPr>
          <w:rStyle w:val="FootnoteReference"/>
          <w:rFonts w:ascii="Book Antiqua" w:eastAsia="Calibri" w:hAnsi="Book Antiqua"/>
          <w:lang w:val="af-ZA" w:eastAsia="af-ZA"/>
        </w:rPr>
        <w:footnoteReference w:id="16"/>
      </w:r>
      <w:r w:rsidR="00BC50A9" w:rsidRPr="00D45CE8">
        <w:rPr>
          <w:rFonts w:ascii="Book Antiqua" w:eastAsia="Calibri" w:hAnsi="Book Antiqua"/>
          <w:lang w:val="af-ZA" w:eastAsia="af-ZA"/>
        </w:rPr>
        <w:t xml:space="preserve"> </w:t>
      </w:r>
      <w:r w:rsidR="00453090" w:rsidRPr="00D45CE8">
        <w:rPr>
          <w:rFonts w:ascii="Book Antiqua" w:eastAsia="Calibri" w:hAnsi="Book Antiqua"/>
          <w:lang w:val="af-ZA" w:eastAsia="af-ZA"/>
        </w:rPr>
        <w:t>Building on this relational anthropology, a relational view of the Trinity holds that the communion obtaining between God the Father, God the Son, and God the Holy Spirit is not merely a speculative datum of doctrine but a pattern that should characterise the life and ministry of the Christian community. Following LaCugna,</w:t>
      </w:r>
      <w:r w:rsidR="00F27044" w:rsidRPr="00D45CE8">
        <w:rPr>
          <w:rStyle w:val="FootnoteReference"/>
          <w:rFonts w:ascii="Book Antiqua" w:eastAsia="Calibri" w:hAnsi="Book Antiqua"/>
          <w:lang w:val="af-ZA" w:eastAsia="af-ZA"/>
        </w:rPr>
        <w:footnoteReference w:id="17"/>
      </w:r>
      <w:r w:rsidR="00453090" w:rsidRPr="00D45CE8">
        <w:rPr>
          <w:rFonts w:ascii="Book Antiqua" w:eastAsia="Calibri" w:hAnsi="Book Antiqua"/>
          <w:lang w:val="af-ZA" w:eastAsia="af-ZA"/>
        </w:rPr>
        <w:t xml:space="preserve"> Tanner,</w:t>
      </w:r>
      <w:r w:rsidR="00F27044" w:rsidRPr="00D45CE8">
        <w:rPr>
          <w:rStyle w:val="FootnoteReference"/>
          <w:rFonts w:ascii="Book Antiqua" w:eastAsia="Calibri" w:hAnsi="Book Antiqua"/>
          <w:lang w:val="af-ZA" w:eastAsia="af-ZA"/>
        </w:rPr>
        <w:footnoteReference w:id="18"/>
      </w:r>
      <w:r w:rsidR="00453090" w:rsidRPr="00D45CE8">
        <w:rPr>
          <w:rFonts w:ascii="Book Antiqua" w:eastAsia="Calibri" w:hAnsi="Book Antiqua"/>
          <w:lang w:val="af-ZA" w:eastAsia="af-ZA"/>
        </w:rPr>
        <w:t xml:space="preserve"> and Venter,</w:t>
      </w:r>
      <w:r w:rsidR="00F27044" w:rsidRPr="00D45CE8">
        <w:rPr>
          <w:rStyle w:val="FootnoteReference"/>
          <w:rFonts w:ascii="Book Antiqua" w:eastAsia="Calibri" w:hAnsi="Book Antiqua"/>
          <w:lang w:val="af-ZA" w:eastAsia="af-ZA"/>
        </w:rPr>
        <w:footnoteReference w:id="19"/>
      </w:r>
      <w:r w:rsidR="00453090" w:rsidRPr="00D45CE8">
        <w:rPr>
          <w:rFonts w:ascii="Book Antiqua" w:eastAsia="Calibri" w:hAnsi="Book Antiqua"/>
          <w:lang w:val="af-ZA" w:eastAsia="af-ZA"/>
        </w:rPr>
        <w:t xml:space="preserve"> this article conceives the Trinity as a communion of mutual love, equality, interconnectedness, and interrelatedness. For LaCugna, the doctrine expresses “the primacy of communion among equals, not the primacy of one over another”</w:t>
      </w:r>
      <w:r w:rsidR="008B2606" w:rsidRPr="00D45CE8">
        <w:rPr>
          <w:rStyle w:val="FootnoteReference"/>
          <w:rFonts w:ascii="Book Antiqua" w:eastAsia="Calibri" w:hAnsi="Book Antiqua"/>
          <w:lang w:val="af-ZA" w:eastAsia="af-ZA"/>
        </w:rPr>
        <w:footnoteReference w:id="20"/>
      </w:r>
      <w:r w:rsidR="00453090" w:rsidRPr="00D45CE8">
        <w:rPr>
          <w:rFonts w:ascii="Book Antiqua" w:eastAsia="Calibri" w:hAnsi="Book Antiqua"/>
          <w:lang w:val="af-ZA" w:eastAsia="af-ZA"/>
        </w:rPr>
        <w:t xml:space="preserve">—a formulation that positions the abuse and hoarding of power in human society as the direct inversion of the relational quality intrinsic to the Godhead. This reconception has shifted trinitarian theology away from an abstract and largely mystical </w:t>
      </w:r>
      <w:r w:rsidR="00453090" w:rsidRPr="00D45CE8">
        <w:rPr>
          <w:rFonts w:ascii="Book Antiqua" w:eastAsia="Calibri" w:hAnsi="Book Antiqua"/>
          <w:lang w:val="af-ZA" w:eastAsia="af-ZA"/>
        </w:rPr>
        <w:lastRenderedPageBreak/>
        <w:t xml:space="preserve">inheritance toward a </w:t>
      </w:r>
      <w:r w:rsidR="00732188">
        <w:rPr>
          <w:rFonts w:ascii="Book Antiqua" w:eastAsia="Calibri" w:hAnsi="Book Antiqua"/>
          <w:lang w:val="af-ZA" w:eastAsia="af-ZA"/>
        </w:rPr>
        <w:t>constitutively practical doctrine</w:t>
      </w:r>
      <w:r w:rsidR="00453090" w:rsidRPr="00D45CE8">
        <w:rPr>
          <w:rFonts w:ascii="Book Antiqua" w:eastAsia="Calibri" w:hAnsi="Book Antiqua"/>
          <w:lang w:val="af-ZA" w:eastAsia="af-ZA"/>
        </w:rPr>
        <w:t>, situating everyday Christian existence at the very centre of trinitarian reflection.</w:t>
      </w:r>
    </w:p>
    <w:p w14:paraId="721014BB" w14:textId="19DEA214" w:rsidR="00BC50A9" w:rsidRPr="00D45CE8" w:rsidRDefault="00453090" w:rsidP="00ED4E38">
      <w:pPr>
        <w:spacing w:line="276" w:lineRule="auto"/>
        <w:jc w:val="both"/>
        <w:rPr>
          <w:rFonts w:ascii="Book Antiqua" w:eastAsia="Calibri" w:hAnsi="Book Antiqua"/>
          <w:lang w:val="af-ZA" w:eastAsia="af-ZA"/>
        </w:rPr>
      </w:pPr>
      <w:r w:rsidRPr="00D45CE8">
        <w:rPr>
          <w:rFonts w:ascii="Book Antiqua" w:eastAsia="Calibri" w:hAnsi="Book Antiqua"/>
          <w:lang w:val="af-ZA" w:eastAsia="af-ZA"/>
        </w:rPr>
        <w:t>The ecclesial implications of this shift have been developed extensively. Volf, engaging Ratzinger's trinitarian ecclesiology, contends that the entire life of the faith community—its structures no less than the daily texture of Christian spirituality—ought to be rooted in trinitarian communion, such that congregational practice becomes a visible enactment of trinitarian belief.</w:t>
      </w:r>
      <w:r w:rsidR="00ED472E" w:rsidRPr="00D45CE8">
        <w:rPr>
          <w:rStyle w:val="FootnoteReference"/>
          <w:rFonts w:ascii="Book Antiqua" w:eastAsia="Calibri" w:hAnsi="Book Antiqua"/>
          <w:lang w:val="af-ZA" w:eastAsia="af-ZA"/>
        </w:rPr>
        <w:footnoteReference w:id="21"/>
      </w:r>
      <w:r w:rsidRPr="00D45CE8">
        <w:rPr>
          <w:rFonts w:ascii="Book Antiqua" w:eastAsia="Calibri" w:hAnsi="Book Antiqua"/>
          <w:lang w:val="af-ZA" w:eastAsia="af-ZA"/>
        </w:rPr>
        <w:t xml:space="preserve"> Zizioulas advances a still stronger claim, describing the church as imago trinitatis: not merely an organisation but a mode of being that must take on the relational “flesh” of God's own being.</w:t>
      </w:r>
      <w:r w:rsidR="00ED472E" w:rsidRPr="00D45CE8">
        <w:rPr>
          <w:rStyle w:val="FootnoteReference"/>
          <w:rFonts w:ascii="Book Antiqua" w:eastAsia="Calibri" w:hAnsi="Book Antiqua"/>
          <w:lang w:val="af-ZA" w:eastAsia="af-ZA"/>
        </w:rPr>
        <w:footnoteReference w:id="22"/>
      </w:r>
      <w:r w:rsidRPr="00D45CE8">
        <w:rPr>
          <w:rFonts w:ascii="Book Antiqua" w:eastAsia="Calibri" w:hAnsi="Book Antiqua"/>
          <w:lang w:val="af-ZA" w:eastAsia="af-ZA"/>
        </w:rPr>
        <w:t xml:space="preserve"> Volf, commenting on Zizioulas, insists that ecclesial communion can be adequately understood only through sustained critical engagement with the communal pattern disclosed in the life and teaching of Christ.</w:t>
      </w:r>
      <w:r w:rsidR="00ED472E" w:rsidRPr="00D45CE8">
        <w:rPr>
          <w:rStyle w:val="FootnoteReference"/>
          <w:rFonts w:ascii="Book Antiqua" w:eastAsia="Calibri" w:hAnsi="Book Antiqua"/>
          <w:lang w:val="af-ZA" w:eastAsia="af-ZA"/>
        </w:rPr>
        <w:footnoteReference w:id="23"/>
      </w:r>
      <w:r w:rsidR="00BC50A9" w:rsidRPr="00D45CE8">
        <w:rPr>
          <w:rFonts w:ascii="Book Antiqua" w:eastAsia="Calibri" w:hAnsi="Book Antiqua"/>
          <w:lang w:val="af-ZA" w:eastAsia="af-ZA"/>
        </w:rPr>
        <w:t xml:space="preserve"> </w:t>
      </w:r>
      <w:r w:rsidRPr="00D45CE8">
        <w:rPr>
          <w:rFonts w:ascii="Book Antiqua" w:eastAsia="Calibri" w:hAnsi="Book Antiqua"/>
          <w:lang w:val="af-ZA" w:eastAsia="af-ZA"/>
        </w:rPr>
        <w:t>The deployment of a specifically doctrinal resource in this study reflects a conviction that practical theology and Christian doctrine are inseparable. As Miller-McLemore  observes, “practical theology refers to an activity of believers seeking to sustain a life of reflective faith in everyday life”</w:t>
      </w:r>
      <w:r w:rsidR="00ED472E" w:rsidRPr="00D45CE8">
        <w:rPr>
          <w:rStyle w:val="FootnoteReference"/>
          <w:rFonts w:ascii="Book Antiqua" w:eastAsia="Calibri" w:hAnsi="Book Antiqua"/>
          <w:lang w:val="af-ZA" w:eastAsia="af-ZA"/>
        </w:rPr>
        <w:footnoteReference w:id="24"/>
      </w:r>
      <w:r w:rsidRPr="00D45CE8">
        <w:rPr>
          <w:rFonts w:ascii="Book Antiqua" w:eastAsia="Calibri" w:hAnsi="Book Antiqua"/>
          <w:lang w:val="af-ZA" w:eastAsia="af-ZA"/>
        </w:rPr>
        <w:t>—an activity that properly draws on both the priority of Scripture and the retrieval of doctrinal tradition. This is especially apt in the African context, where the doctrine of the Trinity functions as what Sakupapa terms an “ecumenical discourse,”</w:t>
      </w:r>
      <w:r w:rsidR="00ED472E" w:rsidRPr="00D45CE8">
        <w:rPr>
          <w:rStyle w:val="FootnoteReference"/>
          <w:rFonts w:ascii="Book Antiqua" w:eastAsia="Calibri" w:hAnsi="Book Antiqua"/>
          <w:lang w:val="af-ZA" w:eastAsia="af-ZA"/>
        </w:rPr>
        <w:footnoteReference w:id="25"/>
      </w:r>
      <w:r w:rsidRPr="00D45CE8">
        <w:rPr>
          <w:rFonts w:ascii="Book Antiqua" w:eastAsia="Calibri" w:hAnsi="Book Antiqua"/>
          <w:lang w:val="af-ZA" w:eastAsia="af-ZA"/>
        </w:rPr>
        <w:t xml:space="preserve"> one whose emphasis on communal life resonates closely with African communitarian ethics.</w:t>
      </w:r>
      <w:r w:rsidR="00ED472E" w:rsidRPr="00D45CE8">
        <w:rPr>
          <w:rStyle w:val="FootnoteReference"/>
          <w:rFonts w:ascii="Book Antiqua" w:eastAsia="Calibri" w:hAnsi="Book Antiqua"/>
          <w:lang w:val="af-ZA" w:eastAsia="af-ZA"/>
        </w:rPr>
        <w:footnoteReference w:id="26"/>
      </w:r>
      <w:r w:rsidRPr="00D45CE8">
        <w:rPr>
          <w:rFonts w:ascii="Book Antiqua" w:eastAsia="Calibri" w:hAnsi="Book Antiqua"/>
          <w:lang w:val="af-ZA" w:eastAsia="af-ZA"/>
        </w:rPr>
        <w:t xml:space="preserve"> Bitrus sharpens this convergence further, arguing that a relational Trinity stands in direct opposition to the patriarchal forms of dominion that often typify African communal life, such that an authentically African communalism is, properly understood, a trinitarian communalism.</w:t>
      </w:r>
      <w:r w:rsidR="00ED472E" w:rsidRPr="00D45CE8">
        <w:rPr>
          <w:rStyle w:val="FootnoteReference"/>
          <w:rFonts w:ascii="Book Antiqua" w:eastAsia="Calibri" w:hAnsi="Book Antiqua"/>
          <w:lang w:val="af-ZA" w:eastAsia="af-ZA"/>
        </w:rPr>
        <w:footnoteReference w:id="27"/>
      </w:r>
    </w:p>
    <w:p w14:paraId="05848633" w14:textId="77777777" w:rsidR="00A1238B" w:rsidRDefault="00A1238B" w:rsidP="00ED4E38">
      <w:pPr>
        <w:spacing w:line="276" w:lineRule="auto"/>
        <w:jc w:val="both"/>
        <w:rPr>
          <w:rFonts w:ascii="Book Antiqua" w:eastAsia="Calibri" w:hAnsi="Book Antiqua"/>
          <w:b/>
          <w:bCs/>
          <w:lang w:val="af-ZA" w:eastAsia="af-ZA"/>
        </w:rPr>
      </w:pPr>
    </w:p>
    <w:p w14:paraId="1A823CCD" w14:textId="77777777" w:rsidR="00A1238B" w:rsidRDefault="00A1238B" w:rsidP="00ED4E38">
      <w:pPr>
        <w:spacing w:line="276" w:lineRule="auto"/>
        <w:jc w:val="both"/>
        <w:rPr>
          <w:rFonts w:ascii="Book Antiqua" w:eastAsia="Calibri" w:hAnsi="Book Antiqua"/>
          <w:b/>
          <w:bCs/>
          <w:lang w:val="af-ZA" w:eastAsia="af-ZA"/>
        </w:rPr>
      </w:pPr>
    </w:p>
    <w:p w14:paraId="465B0EDD" w14:textId="481CF8D1" w:rsidR="00453090" w:rsidRPr="00D45CE8" w:rsidRDefault="00453090" w:rsidP="00ED4E38">
      <w:pPr>
        <w:spacing w:line="276" w:lineRule="auto"/>
        <w:jc w:val="both"/>
        <w:rPr>
          <w:rFonts w:ascii="Book Antiqua" w:eastAsia="Calibri" w:hAnsi="Book Antiqua"/>
          <w:lang w:val="af-ZA" w:eastAsia="af-ZA"/>
        </w:rPr>
      </w:pPr>
      <w:r w:rsidRPr="00D45CE8">
        <w:rPr>
          <w:rFonts w:ascii="Book Antiqua" w:eastAsia="Calibri" w:hAnsi="Book Antiqua"/>
          <w:b/>
          <w:bCs/>
          <w:lang w:val="af-ZA" w:eastAsia="af-ZA"/>
        </w:rPr>
        <w:t>Child Sexual Abuse in the Ghanaian Context</w:t>
      </w:r>
    </w:p>
    <w:p w14:paraId="0FC238C3" w14:textId="537161C4" w:rsidR="00BC50A9" w:rsidRPr="00D307E7" w:rsidRDefault="00453090" w:rsidP="00D307E7">
      <w:pPr>
        <w:spacing w:line="276" w:lineRule="auto"/>
        <w:jc w:val="both"/>
        <w:rPr>
          <w:rFonts w:ascii="Book Antiqua" w:eastAsia="Calibri" w:hAnsi="Book Antiqua"/>
          <w:lang w:val="af-ZA" w:eastAsia="af-ZA"/>
        </w:rPr>
      </w:pPr>
      <w:r w:rsidRPr="00D45CE8">
        <w:rPr>
          <w:rFonts w:ascii="Book Antiqua" w:eastAsia="Calibri" w:hAnsi="Book Antiqua"/>
          <w:lang w:val="af-ZA" w:eastAsia="af-ZA"/>
        </w:rPr>
        <w:t xml:space="preserve">CSA is not a marginal phenomenon within Ghanaian society. The Children's Act, 1998 (Act 560) defines a child as any person below the age of eighteen, while the statutory age of sexual consent remains sixteen; sexual activity involving a child below this threshold therefore constitutes CSA under Ghanaian law. UNICEF estimates that approximately </w:t>
      </w:r>
      <w:r w:rsidR="00ED472E" w:rsidRPr="00D45CE8">
        <w:rPr>
          <w:rFonts w:ascii="Book Antiqua" w:eastAsia="Calibri" w:hAnsi="Book Antiqua"/>
          <w:lang w:val="af-ZA" w:eastAsia="af-ZA"/>
        </w:rPr>
        <w:t>90%</w:t>
      </w:r>
      <w:r w:rsidRPr="00D45CE8">
        <w:rPr>
          <w:rFonts w:ascii="Book Antiqua" w:eastAsia="Calibri" w:hAnsi="Book Antiqua"/>
          <w:lang w:val="af-ZA" w:eastAsia="af-ZA"/>
        </w:rPr>
        <w:t xml:space="preserve"> of Ghanaian children have experienced some form of abuse</w:t>
      </w:r>
      <w:r w:rsidR="00ED472E" w:rsidRPr="00D45CE8">
        <w:rPr>
          <w:rStyle w:val="FootnoteReference"/>
          <w:rFonts w:ascii="Book Antiqua" w:eastAsia="Calibri" w:hAnsi="Book Antiqua"/>
          <w:lang w:val="af-ZA" w:eastAsia="af-ZA"/>
        </w:rPr>
        <w:footnoteReference w:id="28"/>
      </w:r>
      <w:r w:rsidRPr="00D45CE8">
        <w:rPr>
          <w:rFonts w:ascii="Book Antiqua" w:eastAsia="Calibri" w:hAnsi="Book Antiqua"/>
          <w:lang w:val="af-ZA" w:eastAsia="af-ZA"/>
        </w:rPr>
        <w:t>—physical, emotional, sexual, or neglect</w:t>
      </w:r>
      <w:r w:rsidR="00033C69" w:rsidRPr="00D45CE8">
        <w:rPr>
          <w:rFonts w:ascii="Book Antiqua" w:eastAsia="Calibri" w:hAnsi="Book Antiqua"/>
          <w:lang w:val="af-ZA" w:eastAsia="af-ZA"/>
        </w:rPr>
        <w:t>,</w:t>
      </w:r>
      <w:r w:rsidR="00D307E7">
        <w:rPr>
          <w:rFonts w:ascii="Book Antiqua" w:eastAsia="Calibri" w:hAnsi="Book Antiqua"/>
          <w:lang w:val="af-ZA" w:eastAsia="af-ZA"/>
        </w:rPr>
        <w:t xml:space="preserve"> </w:t>
      </w:r>
      <w:r w:rsidRPr="00D45CE8">
        <w:rPr>
          <w:rFonts w:ascii="Book Antiqua" w:eastAsia="Calibri" w:hAnsi="Book Antiqua"/>
          <w:lang w:val="af-ZA" w:eastAsia="af-ZA"/>
        </w:rPr>
        <w:t>while a related UNICEF costing exercise placed the annual national expenditure attributable to child abuse at between GH¢926 million and GH¢1.442 billion.</w:t>
      </w:r>
      <w:r w:rsidR="00033C69" w:rsidRPr="00D45CE8">
        <w:rPr>
          <w:rStyle w:val="FootnoteReference"/>
          <w:rFonts w:ascii="Book Antiqua" w:eastAsia="Calibri" w:hAnsi="Book Antiqua"/>
          <w:lang w:val="af-ZA" w:eastAsia="af-ZA"/>
        </w:rPr>
        <w:footnoteReference w:id="29"/>
      </w:r>
      <w:r w:rsidR="00BC50A9" w:rsidRPr="00D45CE8">
        <w:rPr>
          <w:rFonts w:ascii="Book Antiqua" w:eastAsia="Calibri" w:hAnsi="Book Antiqua"/>
          <w:lang w:val="af-ZA" w:eastAsia="af-ZA"/>
        </w:rPr>
        <w:t xml:space="preserve"> </w:t>
      </w:r>
      <w:r w:rsidRPr="00D45CE8">
        <w:rPr>
          <w:rFonts w:ascii="Book Antiqua" w:eastAsia="Calibri" w:hAnsi="Book Antiqua"/>
          <w:lang w:val="af-ZA" w:eastAsia="af-ZA"/>
        </w:rPr>
        <w:t>A comprehensive nationwide study conducted by the Ghana Health Service in partnership with UNICEF identified CSA as a serious public health problem and documented child marriage as a further, closely related form of CSA occurring across all surveyed regions, with girls as young as nine betrothed to and sexually engaged by adult men.</w:t>
      </w:r>
      <w:r w:rsidR="00033C69" w:rsidRPr="00D45CE8">
        <w:rPr>
          <w:rStyle w:val="FootnoteReference"/>
          <w:rFonts w:ascii="Book Antiqua" w:eastAsia="Calibri" w:hAnsi="Book Antiqua"/>
          <w:lang w:val="af-ZA" w:eastAsia="af-ZA"/>
        </w:rPr>
        <w:footnoteReference w:id="30"/>
      </w:r>
      <w:r w:rsidRPr="00D45CE8">
        <w:rPr>
          <w:rFonts w:ascii="Book Antiqua" w:eastAsia="Calibri" w:hAnsi="Book Antiqua"/>
          <w:lang w:val="af-ZA" w:eastAsia="af-ZA"/>
        </w:rPr>
        <w:t xml:space="preserve"> Complementary school-based research corroborates the scale of the problem: in a descriptive and exploratory survey spanning four of Ghana</w:t>
      </w:r>
      <w:r w:rsidR="00CF1238">
        <w:rPr>
          <w:rFonts w:ascii="Book Antiqua" w:eastAsia="Calibri" w:hAnsi="Book Antiqua"/>
          <w:lang w:val="af-ZA" w:eastAsia="af-ZA"/>
        </w:rPr>
        <w:t>’</w:t>
      </w:r>
      <w:r w:rsidRPr="00D45CE8">
        <w:rPr>
          <w:rFonts w:ascii="Book Antiqua" w:eastAsia="Calibri" w:hAnsi="Book Antiqua"/>
          <w:lang w:val="af-ZA" w:eastAsia="af-ZA"/>
        </w:rPr>
        <w:t>s then 110 districts, drawing on responses from 490 pupils, 116 parents, and 49 headteachers, 11.2 per cent of participating children reported having been victims of rape or defilement, with 92</w:t>
      </w:r>
      <w:r w:rsidR="00CD213C" w:rsidRPr="00D45CE8">
        <w:rPr>
          <w:rFonts w:ascii="Book Antiqua" w:eastAsia="Calibri" w:hAnsi="Book Antiqua"/>
          <w:lang w:val="af-ZA" w:eastAsia="af-ZA"/>
        </w:rPr>
        <w:t>%</w:t>
      </w:r>
      <w:r w:rsidRPr="00D45CE8">
        <w:rPr>
          <w:rFonts w:ascii="Book Antiqua" w:eastAsia="Calibri" w:hAnsi="Book Antiqua"/>
          <w:lang w:val="af-ZA" w:eastAsia="af-ZA"/>
        </w:rPr>
        <w:t xml:space="preserve"> of victims identified as female.</w:t>
      </w:r>
      <w:r w:rsidR="00033C69" w:rsidRPr="00D45CE8">
        <w:rPr>
          <w:rStyle w:val="FootnoteReference"/>
          <w:rFonts w:ascii="Book Antiqua" w:eastAsia="Calibri" w:hAnsi="Book Antiqua"/>
          <w:lang w:val="af-ZA" w:eastAsia="af-ZA"/>
        </w:rPr>
        <w:footnoteReference w:id="31"/>
      </w:r>
      <w:r w:rsidRPr="00D45CE8">
        <w:rPr>
          <w:rFonts w:ascii="Book Antiqua" w:eastAsia="Calibri" w:hAnsi="Book Antiqua"/>
          <w:lang w:val="af-ZA" w:eastAsia="af-ZA"/>
        </w:rPr>
        <w:t xml:space="preserve"> A subsequent study examining the period of the COVID-19 lockdown found that 32</w:t>
      </w:r>
      <w:r w:rsidR="00CD213C" w:rsidRPr="00D45CE8">
        <w:rPr>
          <w:rFonts w:ascii="Book Antiqua" w:eastAsia="Calibri" w:hAnsi="Book Antiqua"/>
          <w:lang w:val="af-ZA" w:eastAsia="af-ZA"/>
        </w:rPr>
        <w:t>%</w:t>
      </w:r>
      <w:r w:rsidRPr="00D45CE8">
        <w:rPr>
          <w:rFonts w:ascii="Book Antiqua" w:eastAsia="Calibri" w:hAnsi="Book Antiqua"/>
          <w:lang w:val="af-ZA" w:eastAsia="af-ZA"/>
        </w:rPr>
        <w:t xml:space="preserve"> of surveyed adolescent girls aged thirteen to nineteen had experienced sexual abuse during that period.</w:t>
      </w:r>
      <w:r w:rsidR="00033C69" w:rsidRPr="00D45CE8">
        <w:rPr>
          <w:rStyle w:val="FootnoteReference"/>
          <w:rFonts w:ascii="Book Antiqua" w:eastAsia="Calibri" w:hAnsi="Book Antiqua"/>
          <w:lang w:val="af-ZA" w:eastAsia="af-ZA"/>
        </w:rPr>
        <w:footnoteReference w:id="32"/>
      </w:r>
      <w:r w:rsidRPr="00D45CE8">
        <w:rPr>
          <w:rFonts w:ascii="Book Antiqua" w:eastAsia="Calibri" w:hAnsi="Book Antiqua"/>
          <w:lang w:val="af-ZA" w:eastAsia="af-ZA"/>
        </w:rPr>
        <w:t xml:space="preserve"> Notably, Kpalam and Ahiataku report that CSA is no less pervasive within churches than within Ghanaian society at large,</w:t>
      </w:r>
      <w:r w:rsidR="000D661D" w:rsidRPr="00D45CE8">
        <w:rPr>
          <w:rStyle w:val="FootnoteReference"/>
          <w:rFonts w:ascii="Book Antiqua" w:eastAsia="Calibri" w:hAnsi="Book Antiqua"/>
          <w:lang w:val="af-ZA" w:eastAsia="af-ZA"/>
        </w:rPr>
        <w:footnoteReference w:id="33"/>
      </w:r>
      <w:r w:rsidRPr="00D45CE8">
        <w:rPr>
          <w:rFonts w:ascii="Book Antiqua" w:eastAsia="Calibri" w:hAnsi="Book Antiqua"/>
          <w:lang w:val="af-ZA" w:eastAsia="af-ZA"/>
        </w:rPr>
        <w:t xml:space="preserve"> with several studies implicating Christian religious leaders as perpetrators and media reports identifying church leadership as, in some instances, an obstacle to the fight against CSA rather than an ally within it.</w:t>
      </w:r>
      <w:r w:rsidR="000D661D" w:rsidRPr="00D45CE8">
        <w:rPr>
          <w:rStyle w:val="FootnoteReference"/>
          <w:rFonts w:ascii="Book Antiqua" w:eastAsia="Calibri" w:hAnsi="Book Antiqua"/>
          <w:lang w:val="af-ZA" w:eastAsia="af-ZA"/>
        </w:rPr>
        <w:footnoteReference w:id="34"/>
      </w:r>
      <w:r w:rsidR="000D661D" w:rsidRPr="00D45CE8">
        <w:rPr>
          <w:rFonts w:ascii="Book Antiqua" w:eastAsia="Calibri" w:hAnsi="Book Antiqua"/>
          <w:lang w:val="af-ZA" w:eastAsia="af-ZA"/>
        </w:rPr>
        <w:t xml:space="preserve"> </w:t>
      </w:r>
      <w:r w:rsidRPr="00D45CE8">
        <w:rPr>
          <w:rFonts w:ascii="Book Antiqua" w:eastAsia="Calibri" w:hAnsi="Book Antiqua"/>
          <w:lang w:val="af-ZA" w:eastAsia="af-ZA"/>
        </w:rPr>
        <w:t xml:space="preserve">Taken together, this body of evidence points </w:t>
      </w:r>
      <w:r w:rsidRPr="00D45CE8">
        <w:rPr>
          <w:rFonts w:ascii="Book Antiqua" w:eastAsia="Calibri" w:hAnsi="Book Antiqua"/>
          <w:lang w:val="af-ZA" w:eastAsia="af-ZA"/>
        </w:rPr>
        <w:lastRenderedPageBreak/>
        <w:t>to a persistent and, in places, worsening crisis that existing governmental and civil-society interventions have not yet been able to contain.</w:t>
      </w:r>
    </w:p>
    <w:p w14:paraId="6C6E974C" w14:textId="4B5CC1AD" w:rsidR="009D3A02" w:rsidRPr="00EC4C7B" w:rsidRDefault="00F23274">
      <w:pPr>
        <w:spacing w:line="276" w:lineRule="auto"/>
        <w:rPr>
          <w:rFonts w:eastAsia="Calibri"/>
          <w:b/>
          <w:bCs/>
          <w:lang w:val="af-ZA" w:eastAsia="af-ZA"/>
        </w:rPr>
      </w:pPr>
      <w:r>
        <w:rPr>
          <w:rFonts w:ascii="Book Antiqua" w:hAnsi="Book Antiqua"/>
          <w:b/>
          <w:bCs/>
          <w:lang w:val="af-ZA"/>
        </w:rPr>
        <w:t>Methodological Framework: The Pastoral Circle</w:t>
      </w:r>
    </w:p>
    <w:p w14:paraId="2E6D28E5" w14:textId="32155A16" w:rsidR="00340BB0" w:rsidRPr="007F0F62" w:rsidRDefault="00453090" w:rsidP="007F0F62">
      <w:pPr>
        <w:spacing w:line="276" w:lineRule="auto"/>
        <w:jc w:val="both"/>
        <w:rPr>
          <w:rFonts w:ascii="Book Antiqua" w:eastAsia="Calibri" w:hAnsi="Book Antiqua"/>
          <w:lang w:val="af-ZA" w:eastAsia="af-ZA"/>
        </w:rPr>
      </w:pPr>
      <w:r w:rsidRPr="00D45CE8">
        <w:rPr>
          <w:rFonts w:ascii="Book Antiqua" w:eastAsia="Calibri" w:hAnsi="Book Antiqua"/>
          <w:lang w:val="af-ZA" w:eastAsia="af-ZA"/>
        </w:rPr>
        <w:t>This study adopts the Pastoral Circle developed by Holland and Henriot ,</w:t>
      </w:r>
      <w:r w:rsidR="00794B2E" w:rsidRPr="00D45CE8">
        <w:rPr>
          <w:rStyle w:val="FootnoteReference"/>
          <w:rFonts w:ascii="Book Antiqua" w:eastAsia="Calibri" w:hAnsi="Book Antiqua"/>
          <w:lang w:val="af-ZA" w:eastAsia="af-ZA"/>
        </w:rPr>
        <w:footnoteReference w:id="35"/>
      </w:r>
      <w:r w:rsidRPr="00D45CE8">
        <w:rPr>
          <w:rFonts w:ascii="Book Antiqua" w:eastAsia="Calibri" w:hAnsi="Book Antiqua"/>
          <w:lang w:val="af-ZA" w:eastAsia="af-ZA"/>
        </w:rPr>
        <w:t xml:space="preserve"> an approach to practical theology emerging from the traditions of contextual and liberation theology and oriented explicitly toward context-sensitive action and change.</w:t>
      </w:r>
      <w:r w:rsidR="00794B2E" w:rsidRPr="00D45CE8">
        <w:rPr>
          <w:rStyle w:val="FootnoteReference"/>
          <w:rFonts w:ascii="Book Antiqua" w:eastAsia="Calibri" w:hAnsi="Book Antiqua"/>
          <w:lang w:val="af-ZA" w:eastAsia="af-ZA"/>
        </w:rPr>
        <w:footnoteReference w:id="36"/>
      </w:r>
      <w:r w:rsidR="00794B2E" w:rsidRPr="008E0989">
        <w:rPr>
          <w:rFonts w:ascii="Book Antiqua" w:eastAsia="Calibri" w:hAnsi="Book Antiqua"/>
          <w:vertAlign w:val="superscript"/>
          <w:lang w:val="af-ZA" w:eastAsia="af-ZA"/>
        </w:rPr>
        <w:t>,</w:t>
      </w:r>
      <w:r w:rsidR="00794B2E" w:rsidRPr="00D45CE8">
        <w:rPr>
          <w:rStyle w:val="FootnoteReference"/>
          <w:rFonts w:ascii="Book Antiqua" w:eastAsia="Calibri" w:hAnsi="Book Antiqua"/>
          <w:lang w:val="af-ZA" w:eastAsia="af-ZA"/>
        </w:rPr>
        <w:footnoteReference w:id="37"/>
      </w:r>
      <w:r w:rsidR="00794B2E" w:rsidRPr="00D45CE8">
        <w:rPr>
          <w:rFonts w:ascii="Book Antiqua" w:eastAsia="Calibri" w:hAnsi="Book Antiqua"/>
          <w:lang w:val="af-ZA" w:eastAsia="af-ZA"/>
        </w:rPr>
        <w:t xml:space="preserve"> </w:t>
      </w:r>
      <w:r w:rsidRPr="00D45CE8">
        <w:rPr>
          <w:rFonts w:ascii="Book Antiqua" w:eastAsia="Calibri" w:hAnsi="Book Antiqua"/>
          <w:lang w:val="af-ZA" w:eastAsia="af-ZA"/>
        </w:rPr>
        <w:t>Holland and Henriot conceive of practical theology as an ongoing, integrative process binding together pastoral praxis, hermeneutics, and theological reflection within the life of the church, and they identify four constitutive moments: insertion, social analysis, theological reflection, and pastoral planning.</w:t>
      </w:r>
      <w:r w:rsidR="00BC54BD" w:rsidRPr="00D45CE8">
        <w:rPr>
          <w:rStyle w:val="FootnoteReference"/>
          <w:rFonts w:ascii="Book Antiqua" w:eastAsia="Calibri" w:hAnsi="Book Antiqua"/>
          <w:lang w:val="af-ZA" w:eastAsia="af-ZA"/>
        </w:rPr>
        <w:footnoteReference w:id="38"/>
      </w:r>
      <w:r w:rsidR="00BC50A9" w:rsidRPr="00D45CE8">
        <w:rPr>
          <w:rFonts w:ascii="Book Antiqua" w:eastAsia="Calibri" w:hAnsi="Book Antiqua"/>
          <w:lang w:val="af-ZA" w:eastAsia="af-ZA"/>
        </w:rPr>
        <w:t xml:space="preserve"> </w:t>
      </w:r>
      <w:r w:rsidRPr="00D45CE8">
        <w:rPr>
          <w:rFonts w:ascii="Book Antiqua" w:eastAsia="Calibri" w:hAnsi="Book Antiqua"/>
          <w:lang w:val="af-ZA" w:eastAsia="af-ZA"/>
        </w:rPr>
        <w:t>The moment of insertion, or what Cochrane et al. call “beginning in the context,”</w:t>
      </w:r>
      <w:r w:rsidR="00AB41E8" w:rsidRPr="00D45CE8">
        <w:rPr>
          <w:rStyle w:val="FootnoteReference"/>
          <w:rFonts w:ascii="Book Antiqua" w:eastAsia="Calibri" w:hAnsi="Book Antiqua"/>
          <w:lang w:val="af-ZA" w:eastAsia="af-ZA"/>
        </w:rPr>
        <w:footnoteReference w:id="39"/>
      </w:r>
      <w:r w:rsidRPr="00D45CE8">
        <w:rPr>
          <w:rFonts w:ascii="Book Antiqua" w:eastAsia="Calibri" w:hAnsi="Book Antiqua"/>
          <w:lang w:val="af-ZA" w:eastAsia="af-ZA"/>
        </w:rPr>
        <w:t xml:space="preserve"> attends to the lived experiences, feelings, and perceptions of individuals and communities as the primary data from which theological reflection proceeds.</w:t>
      </w:r>
      <w:r w:rsidR="00AB41E8" w:rsidRPr="00D45CE8">
        <w:rPr>
          <w:rStyle w:val="FootnoteReference"/>
          <w:rFonts w:ascii="Book Antiqua" w:eastAsia="Calibri" w:hAnsi="Book Antiqua"/>
          <w:lang w:val="af-ZA" w:eastAsia="af-ZA"/>
        </w:rPr>
        <w:footnoteReference w:id="40"/>
      </w:r>
      <w:r w:rsidR="00AB41E8" w:rsidRPr="00CF1238">
        <w:rPr>
          <w:rFonts w:ascii="Book Antiqua" w:eastAsia="Calibri" w:hAnsi="Book Antiqua"/>
          <w:vertAlign w:val="superscript"/>
          <w:lang w:val="af-ZA" w:eastAsia="af-ZA"/>
        </w:rPr>
        <w:t>,</w:t>
      </w:r>
      <w:r w:rsidR="00AB41E8" w:rsidRPr="00D45CE8">
        <w:rPr>
          <w:rStyle w:val="FootnoteReference"/>
          <w:rFonts w:ascii="Book Antiqua" w:eastAsia="Calibri" w:hAnsi="Book Antiqua"/>
          <w:lang w:val="af-ZA" w:eastAsia="af-ZA"/>
        </w:rPr>
        <w:footnoteReference w:id="41"/>
      </w:r>
      <w:r w:rsidRPr="00D45CE8">
        <w:rPr>
          <w:rFonts w:ascii="Book Antiqua" w:eastAsia="Calibri" w:hAnsi="Book Antiqua"/>
          <w:lang w:val="af-ZA" w:eastAsia="af-ZA"/>
        </w:rPr>
        <w:t xml:space="preserve"> Applied here, this moment </w:t>
      </w:r>
      <w:r w:rsidR="00540375">
        <w:rPr>
          <w:rFonts w:ascii="Book Antiqua" w:eastAsia="Calibri" w:hAnsi="Book Antiqua"/>
          <w:lang w:val="af-ZA" w:eastAsia="af-ZA"/>
        </w:rPr>
        <w:t>highlights the complexity of CSA in Ghana,</w:t>
      </w:r>
      <w:r w:rsidRPr="00D45CE8">
        <w:rPr>
          <w:rFonts w:ascii="Book Antiqua" w:eastAsia="Calibri" w:hAnsi="Book Antiqua"/>
          <w:lang w:val="af-ZA" w:eastAsia="af-ZA"/>
        </w:rPr>
        <w:t xml:space="preserve"> as documented across a decade of scholarship calling on all stakeholders, including faith communities, to institute concrete protective measures.</w:t>
      </w:r>
      <w:r w:rsidR="000C383A" w:rsidRPr="00D45CE8">
        <w:rPr>
          <w:rStyle w:val="FootnoteReference"/>
          <w:rFonts w:ascii="Book Antiqua" w:eastAsia="Calibri" w:hAnsi="Book Antiqua"/>
          <w:lang w:val="af-ZA" w:eastAsia="af-ZA"/>
        </w:rPr>
        <w:footnoteReference w:id="42"/>
      </w:r>
      <w:r w:rsidRPr="00D45CE8">
        <w:rPr>
          <w:rFonts w:ascii="Book Antiqua" w:eastAsia="Calibri" w:hAnsi="Book Antiqua"/>
          <w:lang w:val="af-ZA" w:eastAsia="af-ZA"/>
        </w:rPr>
        <w:t xml:space="preserve"> The second moment, social analysis, seeks to identify the causes, contributing factors, and consequences of the phenomenon under study, including the specific role and influence of the church within the community.</w:t>
      </w:r>
      <w:r w:rsidR="00C07FC3" w:rsidRPr="00D45CE8">
        <w:rPr>
          <w:rStyle w:val="FootnoteReference"/>
          <w:rFonts w:ascii="Book Antiqua" w:eastAsia="Calibri" w:hAnsi="Book Antiqua"/>
          <w:lang w:val="af-ZA" w:eastAsia="af-ZA"/>
        </w:rPr>
        <w:footnoteReference w:id="43"/>
      </w:r>
      <w:r w:rsidRPr="00D45CE8">
        <w:rPr>
          <w:rFonts w:ascii="Book Antiqua" w:eastAsia="Calibri" w:hAnsi="Book Antiqua"/>
          <w:lang w:val="af-ZA" w:eastAsia="af-ZA"/>
        </w:rPr>
        <w:t xml:space="preserve"> The third moment, theological reflection, </w:t>
      </w:r>
      <w:r w:rsidRPr="00D45CE8">
        <w:rPr>
          <w:rFonts w:ascii="Book Antiqua" w:eastAsia="Calibri" w:hAnsi="Book Antiqua"/>
          <w:lang w:val="af-ZA" w:eastAsia="af-ZA"/>
        </w:rPr>
        <w:lastRenderedPageBreak/>
        <w:t>undertakes to interpret the analysed context “in the light of living faith, scripture, church social teachings, and the resources of tradition</w:t>
      </w:r>
      <w:r w:rsidR="00CF1238">
        <w:rPr>
          <w:rFonts w:ascii="Book Antiqua" w:eastAsia="Calibri" w:hAnsi="Book Antiqua"/>
          <w:lang w:val="af-ZA" w:eastAsia="af-ZA"/>
        </w:rPr>
        <w:t>,</w:t>
      </w:r>
      <w:r w:rsidRPr="00D45CE8">
        <w:rPr>
          <w:rFonts w:ascii="Book Antiqua" w:eastAsia="Calibri" w:hAnsi="Book Antiqua"/>
          <w:lang w:val="af-ZA" w:eastAsia="af-ZA"/>
        </w:rPr>
        <w:t>”</w:t>
      </w:r>
      <w:r w:rsidR="00F97A55" w:rsidRPr="00D45CE8">
        <w:rPr>
          <w:rStyle w:val="FootnoteReference"/>
          <w:rFonts w:ascii="Book Antiqua" w:eastAsia="Calibri" w:hAnsi="Book Antiqua"/>
          <w:lang w:val="af-ZA" w:eastAsia="af-ZA"/>
        </w:rPr>
        <w:footnoteReference w:id="44"/>
      </w:r>
      <w:r w:rsidRPr="00D45CE8">
        <w:rPr>
          <w:rFonts w:ascii="Book Antiqua" w:eastAsia="Calibri" w:hAnsi="Book Antiqua"/>
          <w:lang w:val="af-ZA" w:eastAsia="af-ZA"/>
        </w:rPr>
        <w:t xml:space="preserve"> in this study, that reflection proceeds specifically through the doctrine of the Trinity, with particular attention to its relational articulation. The fourth and final moment, pastoral planning and praxis, is the point at which the faith community discerns and restates the will of God for its present context,</w:t>
      </w:r>
      <w:r w:rsidR="00F97A55" w:rsidRPr="00D45CE8">
        <w:rPr>
          <w:rStyle w:val="FootnoteReference"/>
          <w:rFonts w:ascii="Book Antiqua" w:eastAsia="Calibri" w:hAnsi="Book Antiqua"/>
          <w:lang w:val="af-ZA" w:eastAsia="af-ZA"/>
        </w:rPr>
        <w:footnoteReference w:id="45"/>
      </w:r>
      <w:r w:rsidRPr="00D45CE8">
        <w:rPr>
          <w:rFonts w:ascii="Book Antiqua" w:eastAsia="Calibri" w:hAnsi="Book Antiqua"/>
          <w:lang w:val="af-ZA" w:eastAsia="af-ZA"/>
        </w:rPr>
        <w:t xml:space="preserve"> synthesising the preceding three moments into a concrete pastoral response. This final moment, elaborated below, generates the practical pastoral care strategies with which the article concludes.</w:t>
      </w:r>
    </w:p>
    <w:p w14:paraId="1248538B" w14:textId="77777777" w:rsidR="009D3A02" w:rsidRPr="00EC4C7B" w:rsidRDefault="00B73FC2">
      <w:pPr>
        <w:spacing w:line="276" w:lineRule="auto"/>
        <w:jc w:val="both"/>
        <w:rPr>
          <w:rFonts w:eastAsia="Calibri"/>
          <w:b/>
          <w:bCs/>
          <w:lang w:val="af-ZA" w:eastAsia="af-ZA"/>
        </w:rPr>
      </w:pPr>
      <w:r>
        <w:rPr>
          <w:rFonts w:ascii="Book Antiqua" w:hAnsi="Book Antiqua"/>
          <w:b/>
          <w:bCs/>
        </w:rPr>
        <w:t>Discussion: Trinitarian Foundations for Pastoral Care</w:t>
      </w:r>
    </w:p>
    <w:p w14:paraId="5AB5AF45" w14:textId="05306345" w:rsidR="00340BB0" w:rsidRPr="00680AB5" w:rsidRDefault="00453090" w:rsidP="00680AB5">
      <w:pPr>
        <w:spacing w:line="276" w:lineRule="auto"/>
        <w:jc w:val="both"/>
        <w:rPr>
          <w:rFonts w:ascii="Book Antiqua" w:eastAsia="Calibri" w:hAnsi="Book Antiqua"/>
          <w:lang w:val="af-ZA" w:eastAsia="af-ZA"/>
        </w:rPr>
      </w:pPr>
      <w:r w:rsidRPr="00D45CE8">
        <w:rPr>
          <w:rFonts w:ascii="Book Antiqua" w:eastAsia="Calibri" w:hAnsi="Book Antiqua"/>
          <w:lang w:val="af-ZA" w:eastAsia="af-ZA"/>
        </w:rPr>
        <w:t>The discussion that follows corresponds to the pastoral circle's culminating moment of planning and praxis,</w:t>
      </w:r>
      <w:r w:rsidR="00F97A55" w:rsidRPr="00D45CE8">
        <w:rPr>
          <w:rStyle w:val="FootnoteReference"/>
          <w:rFonts w:ascii="Book Antiqua" w:eastAsia="Calibri" w:hAnsi="Book Antiqua"/>
          <w:lang w:val="af-ZA" w:eastAsia="af-ZA"/>
        </w:rPr>
        <w:footnoteReference w:id="46"/>
      </w:r>
      <w:r w:rsidRPr="00D45CE8">
        <w:rPr>
          <w:rFonts w:ascii="Book Antiqua" w:eastAsia="Calibri" w:hAnsi="Book Antiqua"/>
          <w:lang w:val="af-ZA" w:eastAsia="af-ZA"/>
        </w:rPr>
        <w:t xml:space="preserve"> addressing what a pastoral response to CSA grounded in a relational Trinity might entail. Because a theological anthropology of children directly shapes the church</w:t>
      </w:r>
      <w:r w:rsidR="00090116">
        <w:rPr>
          <w:rFonts w:ascii="Book Antiqua" w:eastAsia="Calibri" w:hAnsi="Book Antiqua"/>
          <w:lang w:val="af-ZA" w:eastAsia="af-ZA"/>
        </w:rPr>
        <w:t>’</w:t>
      </w:r>
      <w:r w:rsidRPr="00D45CE8">
        <w:rPr>
          <w:rFonts w:ascii="Book Antiqua" w:eastAsia="Calibri" w:hAnsi="Book Antiqua"/>
          <w:lang w:val="af-ZA" w:eastAsia="af-ZA"/>
        </w:rPr>
        <w:t>s pastoral praxis toward them (Matt. 5:13–16), the discussion proceeds in two movements: first, toward a trinitarian pastoral anthropology of children; second, toward an account of the church as a healing community capable of responding pastorally to CSA.</w:t>
      </w:r>
    </w:p>
    <w:p w14:paraId="6C97CCD5" w14:textId="338C9AB8" w:rsidR="00CB09F6" w:rsidRPr="00D45CE8" w:rsidRDefault="00CB09F6" w:rsidP="00680AB5">
      <w:pPr>
        <w:spacing w:line="276" w:lineRule="auto"/>
        <w:jc w:val="both"/>
        <w:rPr>
          <w:rFonts w:ascii="Book Antiqua" w:hAnsi="Book Antiqua"/>
          <w:b/>
          <w:bCs/>
          <w:i/>
          <w:iCs/>
        </w:rPr>
      </w:pPr>
      <w:r w:rsidRPr="00D45CE8">
        <w:rPr>
          <w:rFonts w:ascii="Book Antiqua" w:hAnsi="Book Antiqua"/>
          <w:b/>
          <w:bCs/>
          <w:i/>
          <w:iCs/>
        </w:rPr>
        <w:t xml:space="preserve">Pastoral </w:t>
      </w:r>
      <w:r w:rsidR="00680AB5">
        <w:rPr>
          <w:rFonts w:ascii="Book Antiqua" w:hAnsi="Book Antiqua"/>
          <w:b/>
          <w:bCs/>
          <w:i/>
          <w:iCs/>
        </w:rPr>
        <w:t>A</w:t>
      </w:r>
      <w:r w:rsidRPr="00D45CE8">
        <w:rPr>
          <w:rFonts w:ascii="Book Antiqua" w:hAnsi="Book Antiqua"/>
          <w:b/>
          <w:bCs/>
          <w:i/>
          <w:iCs/>
        </w:rPr>
        <w:t xml:space="preserve">nthropology of </w:t>
      </w:r>
      <w:r w:rsidR="00680AB5">
        <w:rPr>
          <w:rFonts w:ascii="Book Antiqua" w:hAnsi="Book Antiqua"/>
          <w:b/>
          <w:bCs/>
          <w:i/>
          <w:iCs/>
        </w:rPr>
        <w:t>C</w:t>
      </w:r>
      <w:r w:rsidRPr="00D45CE8">
        <w:rPr>
          <w:rFonts w:ascii="Book Antiqua" w:hAnsi="Book Antiqua"/>
          <w:b/>
          <w:bCs/>
          <w:i/>
          <w:iCs/>
        </w:rPr>
        <w:t xml:space="preserve">hildren </w:t>
      </w:r>
      <w:r w:rsidR="00680AB5">
        <w:rPr>
          <w:rFonts w:ascii="Book Antiqua" w:hAnsi="Book Antiqua"/>
          <w:b/>
          <w:bCs/>
          <w:i/>
          <w:iCs/>
        </w:rPr>
        <w:t>I</w:t>
      </w:r>
      <w:r w:rsidRPr="00D45CE8">
        <w:rPr>
          <w:rFonts w:ascii="Book Antiqua" w:hAnsi="Book Antiqua"/>
          <w:b/>
          <w:bCs/>
          <w:i/>
          <w:iCs/>
        </w:rPr>
        <w:t>nformed by the Trinity</w:t>
      </w:r>
    </w:p>
    <w:p w14:paraId="3909BFAF" w14:textId="7823FCD3" w:rsidR="00E960DC" w:rsidRPr="00D45CE8" w:rsidRDefault="00453090" w:rsidP="00E960DC">
      <w:pPr>
        <w:spacing w:line="276" w:lineRule="auto"/>
        <w:jc w:val="both"/>
        <w:rPr>
          <w:rFonts w:ascii="Book Antiqua" w:eastAsia="Calibri" w:hAnsi="Book Antiqua"/>
          <w:lang w:val="af-ZA" w:eastAsia="af-ZA"/>
        </w:rPr>
      </w:pPr>
      <w:r w:rsidRPr="00D45CE8">
        <w:rPr>
          <w:rFonts w:ascii="Book Antiqua" w:eastAsia="Calibri" w:hAnsi="Book Antiqua"/>
          <w:lang w:val="af-ZA" w:eastAsia="af-ZA"/>
        </w:rPr>
        <w:t>How might a relational paradigm of the Trinity inform the theological status accorded to children? Moltmann offers a productive point of entry through the concept of imago Trinitatis: because human beings are created in God's image, and that image is irreducibly trinitarian, they are called to enact that relational image within their earthly communities.</w:t>
      </w:r>
      <w:r w:rsidR="00F97A55" w:rsidRPr="00D45CE8">
        <w:rPr>
          <w:rStyle w:val="FootnoteReference"/>
          <w:rFonts w:ascii="Book Antiqua" w:eastAsia="Calibri" w:hAnsi="Book Antiqua"/>
          <w:lang w:val="af-ZA" w:eastAsia="af-ZA"/>
        </w:rPr>
        <w:footnoteReference w:id="47"/>
      </w:r>
      <w:r w:rsidRPr="00D45CE8">
        <w:rPr>
          <w:rFonts w:ascii="Book Antiqua" w:eastAsia="Calibri" w:hAnsi="Book Antiqua"/>
          <w:lang w:val="af-ZA" w:eastAsia="af-ZA"/>
        </w:rPr>
        <w:t xml:space="preserve"> Moltmann grounds this claim in Jesus's high-priestly prayer “that they may all be one, just as you, Father, are in me, and I in you, that they also may be in us, so that the world may believe that you have sent me” (John 17:21, ESV), reading it as a summons into a fellowship with Christ that believers are called to embody in the shape of their communal life. On this account, believers are not merely instructed to imitate the trinitarian relationship from without; they are constituted within it.</w:t>
      </w:r>
      <w:r w:rsidR="00F97A55" w:rsidRPr="00D45CE8">
        <w:rPr>
          <w:rStyle w:val="FootnoteReference"/>
          <w:rFonts w:ascii="Book Antiqua" w:eastAsia="Calibri" w:hAnsi="Book Antiqua"/>
          <w:lang w:val="af-ZA" w:eastAsia="af-ZA"/>
        </w:rPr>
        <w:footnoteReference w:id="48"/>
      </w:r>
      <w:r w:rsidR="00F97A55" w:rsidRPr="00F04A2A">
        <w:rPr>
          <w:rFonts w:ascii="Book Antiqua" w:eastAsia="Calibri" w:hAnsi="Book Antiqua"/>
          <w:vertAlign w:val="superscript"/>
          <w:lang w:val="af-ZA" w:eastAsia="af-ZA"/>
        </w:rPr>
        <w:t>,</w:t>
      </w:r>
      <w:r w:rsidR="00F97A55" w:rsidRPr="00D45CE8">
        <w:rPr>
          <w:rStyle w:val="FootnoteReference"/>
          <w:rFonts w:ascii="Book Antiqua" w:eastAsia="Calibri" w:hAnsi="Book Antiqua"/>
          <w:lang w:val="af-ZA" w:eastAsia="af-ZA"/>
        </w:rPr>
        <w:footnoteReference w:id="49"/>
      </w:r>
    </w:p>
    <w:p w14:paraId="2C2417E5" w14:textId="3A7F44D1" w:rsidR="00BC50A9" w:rsidRPr="00D45CE8" w:rsidRDefault="00453090" w:rsidP="00E960DC">
      <w:pPr>
        <w:spacing w:line="276" w:lineRule="auto"/>
        <w:jc w:val="both"/>
        <w:rPr>
          <w:rFonts w:ascii="Book Antiqua" w:eastAsia="Calibri" w:hAnsi="Book Antiqua"/>
          <w:lang w:val="af-ZA" w:eastAsia="af-ZA"/>
        </w:rPr>
      </w:pPr>
      <w:r w:rsidRPr="00D45CE8">
        <w:rPr>
          <w:rFonts w:ascii="Book Antiqua" w:eastAsia="Calibri" w:hAnsi="Book Antiqua"/>
          <w:lang w:val="af-ZA" w:eastAsia="af-ZA"/>
        </w:rPr>
        <w:lastRenderedPageBreak/>
        <w:t xml:space="preserve">This theological claim carries direct implications for the status of children. Ecclesial practice too often implies, whether explicitly or through neglect, that children bear an inferior image relative to adults—an implication that a trinitarian anthropology cannot sustain. Both children and adults are created in the singular image and likeness of the Triune God (Gen. 1:26; 2:7), and Moltmann resists any reduction of the </w:t>
      </w:r>
      <w:r w:rsidRPr="00865003">
        <w:rPr>
          <w:rFonts w:ascii="Book Antiqua" w:eastAsia="Calibri" w:hAnsi="Book Antiqua"/>
          <w:i/>
          <w:iCs/>
          <w:lang w:val="af-ZA" w:eastAsia="af-ZA"/>
        </w:rPr>
        <w:t>imago Dei</w:t>
      </w:r>
      <w:r w:rsidRPr="00D45CE8">
        <w:rPr>
          <w:rFonts w:ascii="Book Antiqua" w:eastAsia="Calibri" w:hAnsi="Book Antiqua"/>
          <w:lang w:val="af-ZA" w:eastAsia="af-ZA"/>
        </w:rPr>
        <w:t xml:space="preserve"> to a mandate for dominion over creation, insisting instead that it extends to imago Trinitatis: the relationality of Father, Son, and Spirit “represented in the fundamental human communities and manifested in them through creation and redemption.”</w:t>
      </w:r>
      <w:r w:rsidR="005A537E" w:rsidRPr="00D45CE8">
        <w:rPr>
          <w:rStyle w:val="FootnoteReference"/>
          <w:rFonts w:ascii="Book Antiqua" w:eastAsia="Calibri" w:hAnsi="Book Antiqua"/>
          <w:lang w:val="af-ZA" w:eastAsia="af-ZA"/>
        </w:rPr>
        <w:footnoteReference w:id="50"/>
      </w:r>
      <w:r w:rsidRPr="00D45CE8">
        <w:rPr>
          <w:rFonts w:ascii="Book Antiqua" w:eastAsia="Calibri" w:hAnsi="Book Antiqua"/>
          <w:lang w:val="af-ZA" w:eastAsia="af-ZA"/>
        </w:rPr>
        <w:t xml:space="preserve"> It follows that “if the whole human being is designated the image of God, then true human community—the community of the sexes and the community of the generations—has the same designation</w:t>
      </w:r>
      <w:r w:rsidR="00865003">
        <w:rPr>
          <w:rFonts w:ascii="Book Antiqua" w:eastAsia="Calibri" w:hAnsi="Book Antiqua"/>
          <w:lang w:val="af-ZA" w:eastAsia="af-ZA"/>
        </w:rPr>
        <w:t>.</w:t>
      </w:r>
      <w:r w:rsidRPr="00D45CE8">
        <w:rPr>
          <w:rFonts w:ascii="Book Antiqua" w:eastAsia="Calibri" w:hAnsi="Book Antiqua"/>
          <w:lang w:val="af-ZA" w:eastAsia="af-ZA"/>
        </w:rPr>
        <w:t>”</w:t>
      </w:r>
      <w:r w:rsidR="00F97A55" w:rsidRPr="00D45CE8">
        <w:rPr>
          <w:rStyle w:val="FootnoteReference"/>
          <w:rFonts w:ascii="Book Antiqua" w:eastAsia="Calibri" w:hAnsi="Book Antiqua"/>
          <w:lang w:val="af-ZA" w:eastAsia="af-ZA"/>
        </w:rPr>
        <w:footnoteReference w:id="51"/>
      </w:r>
      <w:r w:rsidRPr="00D45CE8">
        <w:rPr>
          <w:rFonts w:ascii="Book Antiqua" w:eastAsia="Calibri" w:hAnsi="Book Antiqua"/>
          <w:lang w:val="af-ZA" w:eastAsia="af-ZA"/>
        </w:rPr>
        <w:t xml:space="preserve"> Read against this claim, the residual notion of ‘rule’ within some interpretations of the </w:t>
      </w:r>
      <w:r w:rsidRPr="001A311A">
        <w:rPr>
          <w:rFonts w:ascii="Book Antiqua" w:eastAsia="Calibri" w:hAnsi="Book Antiqua"/>
          <w:i/>
          <w:iCs/>
          <w:lang w:val="af-ZA" w:eastAsia="af-ZA"/>
        </w:rPr>
        <w:t>imago Dei</w:t>
      </w:r>
      <w:r w:rsidRPr="00D45CE8">
        <w:rPr>
          <w:rFonts w:ascii="Book Antiqua" w:eastAsia="Calibri" w:hAnsi="Book Antiqua"/>
          <w:lang w:val="af-ZA" w:eastAsia="af-ZA"/>
        </w:rPr>
        <w:t xml:space="preserve"> helps to explain the persistence of dominative power over those judged inferior, including children, and correspondingly the difficulty of cultivating a relational space for all creation analogous to that within the Trinity itself. The faith community, called by the Father through the Son in the power of the Spirit into a fellowship that LaCugna describes as one of “primacy of equals,”</w:t>
      </w:r>
      <w:r w:rsidR="005A537E" w:rsidRPr="00D45CE8">
        <w:rPr>
          <w:rStyle w:val="FootnoteReference"/>
          <w:rFonts w:ascii="Book Antiqua" w:eastAsia="Calibri" w:hAnsi="Book Antiqua"/>
          <w:lang w:val="af-ZA" w:eastAsia="af-ZA"/>
        </w:rPr>
        <w:footnoteReference w:id="52"/>
      </w:r>
      <w:r w:rsidRPr="00D45CE8">
        <w:rPr>
          <w:rFonts w:ascii="Book Antiqua" w:eastAsia="Calibri" w:hAnsi="Book Antiqua"/>
          <w:lang w:val="af-ZA" w:eastAsia="af-ZA"/>
        </w:rPr>
        <w:t xml:space="preserve"> is thus properly a community of persons who share, without remainder, in the one image of God—a community whose vocation is to construct relational spaces of safety for all its members, including its most marginalised and vulnerable.</w:t>
      </w:r>
      <w:r w:rsidR="005A537E" w:rsidRPr="00D45CE8">
        <w:rPr>
          <w:rStyle w:val="FootnoteReference"/>
          <w:rFonts w:ascii="Book Antiqua" w:eastAsia="Calibri" w:hAnsi="Book Antiqua"/>
          <w:lang w:val="af-ZA" w:eastAsia="af-ZA"/>
        </w:rPr>
        <w:footnoteReference w:id="53"/>
      </w:r>
      <w:r w:rsidR="005A537E" w:rsidRPr="00AA04DE">
        <w:rPr>
          <w:rFonts w:ascii="Book Antiqua" w:eastAsia="Calibri" w:hAnsi="Book Antiqua"/>
          <w:vertAlign w:val="superscript"/>
          <w:lang w:val="af-ZA" w:eastAsia="af-ZA"/>
        </w:rPr>
        <w:t>,</w:t>
      </w:r>
      <w:r w:rsidR="00BA6477" w:rsidRPr="00D45CE8">
        <w:rPr>
          <w:rStyle w:val="FootnoteReference"/>
          <w:rFonts w:ascii="Book Antiqua" w:eastAsia="Calibri" w:hAnsi="Book Antiqua"/>
          <w:lang w:val="af-ZA" w:eastAsia="af-ZA"/>
        </w:rPr>
        <w:footnoteReference w:id="54"/>
      </w:r>
    </w:p>
    <w:p w14:paraId="70C43F82" w14:textId="659EC06B" w:rsidR="00BC50A9" w:rsidRPr="00D45CE8" w:rsidRDefault="00453090" w:rsidP="00E960DC">
      <w:pPr>
        <w:spacing w:line="276" w:lineRule="auto"/>
        <w:jc w:val="both"/>
        <w:rPr>
          <w:rFonts w:ascii="Book Antiqua" w:eastAsia="Calibri" w:hAnsi="Book Antiqua"/>
          <w:lang w:val="af-ZA" w:eastAsia="af-ZA"/>
        </w:rPr>
      </w:pPr>
      <w:r w:rsidRPr="00D45CE8">
        <w:rPr>
          <w:rFonts w:ascii="Book Antiqua" w:eastAsia="Calibri" w:hAnsi="Book Antiqua"/>
          <w:lang w:val="af-ZA" w:eastAsia="af-ZA"/>
        </w:rPr>
        <w:t>Dillen's work on relational anthropology offers a further resource for integrating this trinitarian claim into a workable theology of childhood.</w:t>
      </w:r>
      <w:r w:rsidR="008F3EB4" w:rsidRPr="00D45CE8">
        <w:rPr>
          <w:rStyle w:val="FootnoteReference"/>
          <w:rFonts w:ascii="Book Antiqua" w:eastAsia="Calibri" w:hAnsi="Book Antiqua"/>
          <w:lang w:val="af-ZA" w:eastAsia="af-ZA"/>
        </w:rPr>
        <w:footnoteReference w:id="55"/>
      </w:r>
      <w:r w:rsidRPr="00D45CE8">
        <w:rPr>
          <w:rFonts w:ascii="Book Antiqua" w:eastAsia="Calibri" w:hAnsi="Book Antiqua"/>
          <w:lang w:val="af-ZA" w:eastAsia="af-ZA"/>
        </w:rPr>
        <w:t xml:space="preserve"> Dillen identifies two dominant paradigms in the literature on children—a ‘liberationist’ emphasis on child participation and a ‘care’ emphasis on child protection—and argues that these need not stand in opposition but can be held together within a relational anthropology that places “the dignity of both the child and the parent centrally,” viewing them as “interconnected in a relation of give and take from the beginning</w:t>
      </w:r>
      <w:r w:rsidR="00AA04DE">
        <w:rPr>
          <w:rFonts w:ascii="Book Antiqua" w:eastAsia="Calibri" w:hAnsi="Book Antiqua"/>
          <w:lang w:val="af-ZA" w:eastAsia="af-ZA"/>
        </w:rPr>
        <w:t>.</w:t>
      </w:r>
      <w:r w:rsidRPr="00D45CE8">
        <w:rPr>
          <w:rFonts w:ascii="Book Antiqua" w:eastAsia="Calibri" w:hAnsi="Book Antiqua"/>
          <w:lang w:val="af-ZA" w:eastAsia="af-ZA"/>
        </w:rPr>
        <w:t>”</w:t>
      </w:r>
      <w:r w:rsidR="00BA6477" w:rsidRPr="00D45CE8">
        <w:rPr>
          <w:rStyle w:val="FootnoteReference"/>
          <w:rFonts w:ascii="Book Antiqua" w:eastAsia="Calibri" w:hAnsi="Book Antiqua"/>
          <w:lang w:val="af-ZA" w:eastAsia="af-ZA"/>
        </w:rPr>
        <w:footnoteReference w:id="56"/>
      </w:r>
      <w:r w:rsidRPr="00D45CE8">
        <w:rPr>
          <w:rFonts w:ascii="Book Antiqua" w:eastAsia="Calibri" w:hAnsi="Book Antiqua"/>
          <w:lang w:val="af-ZA" w:eastAsia="af-ZA"/>
        </w:rPr>
        <w:t xml:space="preserve"> This interconnected mutuality mirrors the communion internal to the Trinity, and Dillen grounds it theologically in a doctrine of creation as an “interconnected web of relationships” rather than “a fixed hierarchical </w:t>
      </w:r>
      <w:r w:rsidRPr="00D45CE8">
        <w:rPr>
          <w:rFonts w:ascii="Book Antiqua" w:eastAsia="Calibri" w:hAnsi="Book Antiqua"/>
          <w:lang w:val="af-ZA" w:eastAsia="af-ZA"/>
        </w:rPr>
        <w:lastRenderedPageBreak/>
        <w:t>ordering” in which persons occupy a static ontological rank.</w:t>
      </w:r>
      <w:r w:rsidR="008F3EB4" w:rsidRPr="00D45CE8">
        <w:rPr>
          <w:rStyle w:val="FootnoteReference"/>
          <w:rFonts w:ascii="Book Antiqua" w:eastAsia="Calibri" w:hAnsi="Book Antiqua"/>
          <w:lang w:val="af-ZA" w:eastAsia="af-ZA"/>
        </w:rPr>
        <w:footnoteReference w:id="57"/>
      </w:r>
      <w:r w:rsidRPr="00D45CE8">
        <w:rPr>
          <w:rFonts w:ascii="Book Antiqua" w:eastAsia="Calibri" w:hAnsi="Book Antiqua"/>
          <w:lang w:val="af-ZA" w:eastAsia="af-ZA"/>
        </w:rPr>
        <w:t xml:space="preserve"> The resulting model is one of asymmetry rather than hierarchy: adult and child occupy different positions and differing configurations of power, yet both retain equal dignity within their interconnected relational space. Children thereby enter the pastoral relationship as both vulnerable and agentive—capable of giving as well as receiving. As Dillen concludes, honouring both the asymmetry of the relationship and its capacity to shift in balance over time, together with the underlying mutuality of giving and receiving, is essential to respecting the dignity of both parties in parent–child and pastoral relationships alike—a formulation that closely mirrors the asymmetry-within-mutuality that characterises a relational Trinity.</w:t>
      </w:r>
      <w:r w:rsidR="008F3EB4" w:rsidRPr="00D45CE8">
        <w:rPr>
          <w:rStyle w:val="FootnoteReference"/>
          <w:rFonts w:ascii="Book Antiqua" w:eastAsia="Calibri" w:hAnsi="Book Antiqua"/>
          <w:lang w:val="af-ZA" w:eastAsia="af-ZA"/>
        </w:rPr>
        <w:footnoteReference w:id="58"/>
      </w:r>
    </w:p>
    <w:p w14:paraId="343D854C" w14:textId="3FCE8FC6" w:rsidR="00BC50A9" w:rsidRPr="00D45CE8" w:rsidRDefault="00453090" w:rsidP="00E960DC">
      <w:pPr>
        <w:spacing w:line="276" w:lineRule="auto"/>
        <w:jc w:val="both"/>
        <w:rPr>
          <w:rFonts w:ascii="Book Antiqua" w:eastAsia="Calibri" w:hAnsi="Book Antiqua"/>
          <w:lang w:val="af-ZA" w:eastAsia="af-ZA"/>
        </w:rPr>
      </w:pPr>
      <w:r w:rsidRPr="00D45CE8">
        <w:rPr>
          <w:rFonts w:ascii="Book Antiqua" w:eastAsia="Calibri" w:hAnsi="Book Antiqua"/>
          <w:lang w:val="af-ZA" w:eastAsia="af-ZA"/>
        </w:rPr>
        <w:t>Moltmann</w:t>
      </w:r>
      <w:r w:rsidR="00E6469D">
        <w:rPr>
          <w:rFonts w:ascii="Book Antiqua" w:eastAsia="Calibri" w:hAnsi="Book Antiqua"/>
          <w:lang w:val="af-ZA" w:eastAsia="af-ZA"/>
        </w:rPr>
        <w:t>’</w:t>
      </w:r>
      <w:r w:rsidRPr="00D45CE8">
        <w:rPr>
          <w:rFonts w:ascii="Book Antiqua" w:eastAsia="Calibri" w:hAnsi="Book Antiqua"/>
          <w:lang w:val="af-ZA" w:eastAsia="af-ZA"/>
        </w:rPr>
        <w:t>s account of trinitarian personhood reinforces this claim: because the Father exists in the Son, the Son in the Father, and the Spirit within both, “each Person receives the fullness of eternal life from the other.”</w:t>
      </w:r>
      <w:r w:rsidR="00D313FE" w:rsidRPr="00D45CE8">
        <w:rPr>
          <w:rStyle w:val="FootnoteReference"/>
          <w:rFonts w:ascii="Book Antiqua" w:eastAsia="Calibri" w:hAnsi="Book Antiqua"/>
          <w:lang w:val="af-ZA" w:eastAsia="af-ZA"/>
        </w:rPr>
        <w:footnoteReference w:id="59"/>
      </w:r>
      <w:r w:rsidRPr="00D45CE8">
        <w:rPr>
          <w:rFonts w:ascii="Book Antiqua" w:eastAsia="Calibri" w:hAnsi="Book Antiqua"/>
          <w:lang w:val="af-ZA" w:eastAsia="af-ZA"/>
        </w:rPr>
        <w:t xml:space="preserve"> Each divine person, in other words, exists in orientation toward the flourishing of the others—a pattern closely allied to the African relational maxim of </w:t>
      </w:r>
      <w:r w:rsidRPr="00822312">
        <w:rPr>
          <w:rFonts w:ascii="Book Antiqua" w:eastAsia="Calibri" w:hAnsi="Book Antiqua"/>
          <w:i/>
          <w:iCs/>
          <w:lang w:val="af-ZA" w:eastAsia="af-ZA"/>
        </w:rPr>
        <w:t>Ubuntu</w:t>
      </w:r>
      <w:r w:rsidRPr="00D45CE8">
        <w:rPr>
          <w:rFonts w:ascii="Book Antiqua" w:eastAsia="Calibri" w:hAnsi="Book Antiqua"/>
          <w:lang w:val="af-ZA" w:eastAsia="af-ZA"/>
        </w:rPr>
        <w:t>, “I am because of you.” Read alongside Moltmann's subsequent account of “friendship in freedom”</w:t>
      </w:r>
      <w:r w:rsidR="00D313FE" w:rsidRPr="00D45CE8">
        <w:rPr>
          <w:rStyle w:val="FootnoteReference"/>
          <w:rFonts w:ascii="Book Antiqua" w:eastAsia="Calibri" w:hAnsi="Book Antiqua"/>
          <w:lang w:val="af-ZA" w:eastAsia="af-ZA"/>
        </w:rPr>
        <w:footnoteReference w:id="60"/>
      </w:r>
      <w:r w:rsidRPr="00D45CE8">
        <w:rPr>
          <w:rFonts w:ascii="Book Antiqua" w:eastAsia="Calibri" w:hAnsi="Book Antiqua"/>
          <w:lang w:val="af-ZA" w:eastAsia="af-ZA"/>
        </w:rPr>
        <w:t xml:space="preserve"> as the epitome of humanity's liberating relationship with God, this suggests that children should be understood not merely as objects of adult protection but as full participants in the community of friends constituted by Christ, entitled to experience that friendship in freedom.</w:t>
      </w:r>
      <w:r w:rsidR="00ED768A" w:rsidRPr="00D45CE8">
        <w:rPr>
          <w:rStyle w:val="FootnoteReference"/>
          <w:rFonts w:ascii="Book Antiqua" w:eastAsia="Calibri" w:hAnsi="Book Antiqua"/>
          <w:lang w:val="af-ZA" w:eastAsia="af-ZA"/>
        </w:rPr>
        <w:footnoteReference w:id="61"/>
      </w:r>
      <w:r w:rsidRPr="00D45CE8">
        <w:rPr>
          <w:rFonts w:ascii="Book Antiqua" w:eastAsia="Calibri" w:hAnsi="Book Antiqua"/>
          <w:lang w:val="af-ZA" w:eastAsia="af-ZA"/>
        </w:rPr>
        <w:t xml:space="preserve"> Bunge, drawing on Psalm 127:3—“Children are a heritage from the Lord, offspring a reward from him”—extends this claim by insisting that children are simultaneously bearers of the divine image and gifts entrusted to families and societies, a dual status that calls for an environment in which children and adults hold one another in mutual respect and delight.</w:t>
      </w:r>
      <w:r w:rsidR="00D313FE" w:rsidRPr="00D45CE8">
        <w:rPr>
          <w:rStyle w:val="FootnoteReference"/>
          <w:rFonts w:ascii="Book Antiqua" w:eastAsia="Calibri" w:hAnsi="Book Antiqua"/>
          <w:lang w:val="af-ZA" w:eastAsia="af-ZA"/>
        </w:rPr>
        <w:footnoteReference w:id="62"/>
      </w:r>
    </w:p>
    <w:p w14:paraId="297FAA21" w14:textId="6D08608A" w:rsidR="00BC50A9" w:rsidRPr="00E960DC" w:rsidRDefault="00D313FE" w:rsidP="00E960DC">
      <w:pPr>
        <w:spacing w:line="276" w:lineRule="auto"/>
        <w:jc w:val="both"/>
        <w:rPr>
          <w:rFonts w:ascii="Book Antiqua" w:eastAsia="Calibri" w:hAnsi="Book Antiqua"/>
          <w:lang w:val="af-ZA" w:eastAsia="af-ZA"/>
        </w:rPr>
      </w:pPr>
      <w:r w:rsidRPr="00D45CE8">
        <w:rPr>
          <w:rFonts w:ascii="Book Antiqua" w:eastAsia="Calibri" w:hAnsi="Book Antiqua"/>
          <w:lang w:val="af-ZA" w:eastAsia="af-ZA"/>
        </w:rPr>
        <w:t>Al</w:t>
      </w:r>
      <w:r w:rsidR="00453090" w:rsidRPr="00D45CE8">
        <w:rPr>
          <w:rFonts w:ascii="Book Antiqua" w:eastAsia="Calibri" w:hAnsi="Book Antiqua"/>
          <w:lang w:val="af-ZA" w:eastAsia="af-ZA"/>
        </w:rPr>
        <w:t xml:space="preserve">together, these resources yield a pastoral anthropology in which children are understood as bearers of the same imago Trinitatis borne by adults, entitled to the same dignity and respect accorded to any person created in that image. While adults retain a God-given responsibility to guide and nurture children toward spiritual maturity, this responsibility confers no ontological superiority within the body of Christ; indeed, </w:t>
      </w:r>
      <w:r w:rsidR="00453090" w:rsidRPr="00D45CE8">
        <w:rPr>
          <w:rFonts w:ascii="Book Antiqua" w:eastAsia="Calibri" w:hAnsi="Book Antiqua"/>
          <w:lang w:val="af-ZA" w:eastAsia="af-ZA"/>
        </w:rPr>
        <w:lastRenderedPageBreak/>
        <w:t>children are elsewhere presented in Scripture as models of faith from whom adults themselves have something to learn. Such an anthropology supplies a compelling theological rationale for building faith communities in which every member is accorded a dignity rooted in the image of the Triune God—communities within which power is correspondingly more likely to be exercised in life-giving ways among persons of equal worth. Because pastoral care is, at its root, a communal undertaking in which the whole community cares for its members and extends that care outward to the wider society, holding fast to this anthropology is indispensable to eliminating the abuse and dehumanisation of children within Ghanaian society.</w:t>
      </w:r>
    </w:p>
    <w:p w14:paraId="5584A0AD" w14:textId="1CD8F7FD" w:rsidR="00CB09F6" w:rsidRPr="00D45CE8" w:rsidRDefault="00CB09F6" w:rsidP="00E960DC">
      <w:pPr>
        <w:spacing w:line="276" w:lineRule="auto"/>
        <w:jc w:val="both"/>
        <w:rPr>
          <w:rFonts w:ascii="Book Antiqua" w:hAnsi="Book Antiqua"/>
          <w:b/>
          <w:bCs/>
          <w:i/>
          <w:iCs/>
        </w:rPr>
      </w:pPr>
      <w:r w:rsidRPr="00D45CE8">
        <w:rPr>
          <w:rFonts w:ascii="Book Antiqua" w:hAnsi="Book Antiqua"/>
          <w:b/>
          <w:bCs/>
          <w:i/>
          <w:iCs/>
        </w:rPr>
        <w:t xml:space="preserve">The </w:t>
      </w:r>
      <w:r w:rsidR="00E960DC">
        <w:rPr>
          <w:rFonts w:ascii="Book Antiqua" w:hAnsi="Book Antiqua"/>
          <w:b/>
          <w:bCs/>
          <w:i/>
          <w:iCs/>
        </w:rPr>
        <w:t>C</w:t>
      </w:r>
      <w:r w:rsidRPr="00D45CE8">
        <w:rPr>
          <w:rFonts w:ascii="Book Antiqua" w:hAnsi="Book Antiqua"/>
          <w:b/>
          <w:bCs/>
          <w:i/>
          <w:iCs/>
        </w:rPr>
        <w:t xml:space="preserve">hurch as </w:t>
      </w:r>
      <w:r w:rsidR="00E960DC">
        <w:rPr>
          <w:rFonts w:ascii="Book Antiqua" w:hAnsi="Book Antiqua"/>
          <w:b/>
          <w:bCs/>
          <w:i/>
          <w:iCs/>
        </w:rPr>
        <w:t>a H</w:t>
      </w:r>
      <w:r w:rsidRPr="00D45CE8">
        <w:rPr>
          <w:rFonts w:ascii="Book Antiqua" w:hAnsi="Book Antiqua"/>
          <w:b/>
          <w:bCs/>
          <w:i/>
          <w:iCs/>
        </w:rPr>
        <w:t xml:space="preserve">ealing </w:t>
      </w:r>
      <w:r w:rsidR="00E960DC">
        <w:rPr>
          <w:rFonts w:ascii="Book Antiqua" w:hAnsi="Book Antiqua"/>
          <w:b/>
          <w:bCs/>
          <w:i/>
          <w:iCs/>
        </w:rPr>
        <w:t>C</w:t>
      </w:r>
      <w:r w:rsidRPr="00D45CE8">
        <w:rPr>
          <w:rFonts w:ascii="Book Antiqua" w:hAnsi="Book Antiqua"/>
          <w:b/>
          <w:bCs/>
          <w:i/>
          <w:iCs/>
        </w:rPr>
        <w:t>ommunity for CSA</w:t>
      </w:r>
    </w:p>
    <w:p w14:paraId="4069F0DA" w14:textId="7A603375" w:rsidR="00BC50A9" w:rsidRPr="00D45CE8" w:rsidRDefault="00453090" w:rsidP="00E960DC">
      <w:pPr>
        <w:spacing w:line="276" w:lineRule="auto"/>
        <w:jc w:val="both"/>
        <w:rPr>
          <w:rFonts w:ascii="Book Antiqua" w:eastAsia="Calibri" w:hAnsi="Book Antiqua"/>
          <w:lang w:val="af-ZA" w:eastAsia="af-ZA"/>
        </w:rPr>
      </w:pPr>
      <w:r w:rsidRPr="00D45CE8">
        <w:rPr>
          <w:rFonts w:ascii="Book Antiqua" w:eastAsia="Calibri" w:hAnsi="Book Antiqua"/>
          <w:lang w:val="af-ZA" w:eastAsia="af-ZA"/>
        </w:rPr>
        <w:t>A community, minimally defined, is a group bound by shared cultural norms, values, and often geographical proximity. Within Ghana, as elsewhere in Africa, children are characteristically understood in relation to family and community rather than as isolated individuals, and the raising of children is correspondingly conceived as a properly communal task. This orientation toward connectedness and collective unity is expressed across the continent through concepts such as Ubuntu among Zulu-speaking communities of southern Africa and biakoye among the Akan of Ghana—both naming an African worldview of humanness inseparable from collective life.</w:t>
      </w:r>
      <w:r w:rsidR="00ED768A" w:rsidRPr="00D45CE8">
        <w:rPr>
          <w:rStyle w:val="FootnoteReference"/>
          <w:rFonts w:ascii="Book Antiqua" w:eastAsia="Calibri" w:hAnsi="Book Antiqua"/>
          <w:lang w:val="af-ZA" w:eastAsia="af-ZA"/>
        </w:rPr>
        <w:footnoteReference w:id="63"/>
      </w:r>
      <w:r w:rsidRPr="00D45CE8">
        <w:rPr>
          <w:rFonts w:ascii="Book Antiqua" w:eastAsia="Calibri" w:hAnsi="Book Antiqua"/>
          <w:lang w:val="af-ZA" w:eastAsia="af-ZA"/>
        </w:rPr>
        <w:t xml:space="preserve"> </w:t>
      </w:r>
      <w:r w:rsidR="003E6197" w:rsidRPr="00D45CE8">
        <w:rPr>
          <w:rFonts w:ascii="Book Antiqua" w:eastAsia="Calibri" w:hAnsi="Book Antiqua"/>
          <w:lang w:val="af-ZA" w:eastAsia="af-ZA"/>
        </w:rPr>
        <w:t xml:space="preserve">Capturing Ubuntu as </w:t>
      </w:r>
      <w:r w:rsidRPr="00D45CE8">
        <w:rPr>
          <w:rFonts w:ascii="Book Antiqua" w:eastAsia="Calibri" w:hAnsi="Book Antiqua"/>
          <w:lang w:val="af-ZA" w:eastAsia="af-ZA"/>
        </w:rPr>
        <w:t>the idea of living up to the full human potential</w:t>
      </w:r>
      <w:r w:rsidR="003E6197" w:rsidRPr="00D45CE8">
        <w:rPr>
          <w:rFonts w:ascii="Book Antiqua" w:eastAsia="Calibri" w:hAnsi="Book Antiqua"/>
          <w:lang w:val="af-ZA" w:eastAsia="af-ZA"/>
        </w:rPr>
        <w:t xml:space="preserve"> is</w:t>
      </w:r>
      <w:r w:rsidRPr="00D45CE8">
        <w:rPr>
          <w:rFonts w:ascii="Book Antiqua" w:eastAsia="Calibri" w:hAnsi="Book Antiqua"/>
          <w:lang w:val="af-ZA" w:eastAsia="af-ZA"/>
        </w:rPr>
        <w:t xml:space="preserve"> a potential this article locates theologically in relationship with the Triune God, in whose image and likeness humanity is created. Mbigbi and Maree similarly describe Ubuntu as “collective unity for survival in the face of deprivation and poverty,”</w:t>
      </w:r>
      <w:r w:rsidR="0020544E" w:rsidRPr="00D45CE8">
        <w:rPr>
          <w:rStyle w:val="FootnoteReference"/>
          <w:rFonts w:ascii="Book Antiqua" w:eastAsia="Calibri" w:hAnsi="Book Antiqua"/>
          <w:lang w:val="af-ZA" w:eastAsia="af-ZA"/>
        </w:rPr>
        <w:footnoteReference w:id="64"/>
      </w:r>
      <w:r w:rsidRPr="00D45CE8">
        <w:rPr>
          <w:rFonts w:ascii="Book Antiqua" w:eastAsia="Calibri" w:hAnsi="Book Antiqua"/>
          <w:lang w:val="af-ZA" w:eastAsia="af-ZA"/>
        </w:rPr>
        <w:t xml:space="preserve"> while Mbiti captures the same emphasis when he observes that in traditional African life “the individual does not and cannot exist alone except corporate… the community must therefore make, create or produce the individual; for the individual to depend on the corporate group</w:t>
      </w:r>
      <w:r w:rsidR="00BD6861" w:rsidRPr="00D45CE8">
        <w:rPr>
          <w:rFonts w:ascii="Book Antiqua" w:eastAsia="Calibri" w:hAnsi="Book Antiqua"/>
          <w:lang w:val="af-ZA" w:eastAsia="af-ZA"/>
        </w:rPr>
        <w:t>.</w:t>
      </w:r>
      <w:r w:rsidRPr="00D45CE8">
        <w:rPr>
          <w:rFonts w:ascii="Book Antiqua" w:eastAsia="Calibri" w:hAnsi="Book Antiqua"/>
          <w:lang w:val="af-ZA" w:eastAsia="af-ZA"/>
        </w:rPr>
        <w:t>”</w:t>
      </w:r>
      <w:r w:rsidR="0020544E" w:rsidRPr="00D45CE8">
        <w:rPr>
          <w:rStyle w:val="FootnoteReference"/>
          <w:rFonts w:ascii="Book Antiqua" w:eastAsia="Calibri" w:hAnsi="Book Antiqua"/>
          <w:lang w:val="af-ZA" w:eastAsia="af-ZA"/>
        </w:rPr>
        <w:footnoteReference w:id="65"/>
      </w:r>
    </w:p>
    <w:p w14:paraId="1570CEEB" w14:textId="1F825032" w:rsidR="00BC50A9" w:rsidRPr="00D45CE8" w:rsidRDefault="00453090" w:rsidP="00E960DC">
      <w:pPr>
        <w:spacing w:line="276" w:lineRule="auto"/>
        <w:jc w:val="both"/>
        <w:rPr>
          <w:rFonts w:ascii="Book Antiqua" w:eastAsia="Calibri" w:hAnsi="Book Antiqua"/>
          <w:lang w:val="af-ZA" w:eastAsia="af-ZA"/>
        </w:rPr>
      </w:pPr>
      <w:r w:rsidRPr="00D45CE8">
        <w:rPr>
          <w:rFonts w:ascii="Book Antiqua" w:eastAsia="Calibri" w:hAnsi="Book Antiqua"/>
          <w:lang w:val="af-ZA" w:eastAsia="af-ZA"/>
        </w:rPr>
        <w:t xml:space="preserve">A healing community, on this account, is one in which such relational mutuality is fully realised. Lartey situates the pursuit of healthy, dignity-affirming communities within the broader project of postcolonial pastoral care, arguing for creativity, innovation, and improvisation grounded in indigenous African communitarian ethics as the basis for a pastoral care and healing that extends beyond the individual to the whole community, </w:t>
      </w:r>
      <w:r w:rsidRPr="00D45CE8">
        <w:rPr>
          <w:rFonts w:ascii="Book Antiqua" w:eastAsia="Calibri" w:hAnsi="Book Antiqua"/>
          <w:lang w:val="af-ZA" w:eastAsia="af-ZA"/>
        </w:rPr>
        <w:lastRenderedPageBreak/>
        <w:t>undertaken by the whole community.</w:t>
      </w:r>
      <w:r w:rsidR="0020544E" w:rsidRPr="00D45CE8">
        <w:rPr>
          <w:rStyle w:val="FootnoteReference"/>
          <w:rFonts w:ascii="Book Antiqua" w:eastAsia="Calibri" w:hAnsi="Book Antiqua"/>
          <w:lang w:val="af-ZA" w:eastAsia="af-ZA"/>
        </w:rPr>
        <w:footnoteReference w:id="66"/>
      </w:r>
      <w:r w:rsidRPr="00D45CE8">
        <w:rPr>
          <w:rFonts w:ascii="Book Antiqua" w:eastAsia="Calibri" w:hAnsi="Book Antiqua"/>
          <w:lang w:val="af-ZA" w:eastAsia="af-ZA"/>
        </w:rPr>
        <w:t xml:space="preserve"> It should be stressed, however, that communal life in Ghana is not automatically life-affirming; instances of violence and injustice persist within African communities notwithstanding their communal ethos. What determines whether a given community is life-giving is therefore not communalism as such but the specific character and internal structure of that community's relationality—and it is precisely here that a relational Trinity offers a thicker theological foundation for shaping faith communities toward the promotion of healing and well-being for all their members, including children.</w:t>
      </w:r>
    </w:p>
    <w:p w14:paraId="040EA78B" w14:textId="45BDCF6A" w:rsidR="00BC50A9" w:rsidRPr="00E960DC" w:rsidRDefault="00453090" w:rsidP="00E960DC">
      <w:pPr>
        <w:spacing w:line="276" w:lineRule="auto"/>
        <w:jc w:val="both"/>
        <w:rPr>
          <w:rFonts w:ascii="Book Antiqua" w:eastAsia="Calibri" w:hAnsi="Book Antiqua"/>
          <w:lang w:val="af-ZA" w:eastAsia="af-ZA"/>
        </w:rPr>
      </w:pPr>
      <w:r w:rsidRPr="00D45CE8">
        <w:rPr>
          <w:rFonts w:ascii="Book Antiqua" w:eastAsia="Calibri" w:hAnsi="Book Antiqua"/>
          <w:lang w:val="af-ZA" w:eastAsia="af-ZA"/>
        </w:rPr>
        <w:t>A healing community, so conceived, is one in which children and adults inhabit a relational space rooted in the trinitarian primacy of equals rather than the primacy of one member over another—a space in which every member feels safe and at ease in the presence of others.</w:t>
      </w:r>
      <w:r w:rsidR="0020544E" w:rsidRPr="00D45CE8">
        <w:rPr>
          <w:rStyle w:val="FootnoteReference"/>
          <w:rFonts w:ascii="Book Antiqua" w:eastAsia="Calibri" w:hAnsi="Book Antiqua"/>
          <w:lang w:val="af-ZA" w:eastAsia="af-ZA"/>
        </w:rPr>
        <w:footnoteReference w:id="67"/>
      </w:r>
      <w:r w:rsidR="0020544E" w:rsidRPr="00AE41C4">
        <w:rPr>
          <w:rFonts w:ascii="Book Antiqua" w:eastAsia="Calibri" w:hAnsi="Book Antiqua"/>
          <w:vertAlign w:val="superscript"/>
          <w:lang w:val="af-ZA" w:eastAsia="af-ZA"/>
        </w:rPr>
        <w:t>,</w:t>
      </w:r>
      <w:r w:rsidR="0020544E" w:rsidRPr="00D45CE8">
        <w:rPr>
          <w:rStyle w:val="FootnoteReference"/>
          <w:rFonts w:ascii="Book Antiqua" w:eastAsia="Calibri" w:hAnsi="Book Antiqua"/>
          <w:lang w:val="af-ZA" w:eastAsia="af-ZA"/>
        </w:rPr>
        <w:footnoteReference w:id="68"/>
      </w:r>
      <w:r w:rsidR="0020544E" w:rsidRPr="00D45CE8">
        <w:rPr>
          <w:rFonts w:ascii="Book Antiqua" w:eastAsia="Calibri" w:hAnsi="Book Antiqua"/>
          <w:lang w:val="af-ZA" w:eastAsia="af-ZA"/>
        </w:rPr>
        <w:t xml:space="preserve"> </w:t>
      </w:r>
      <w:r w:rsidRPr="00D45CE8">
        <w:rPr>
          <w:rFonts w:ascii="Book Antiqua" w:eastAsia="Calibri" w:hAnsi="Book Antiqua"/>
          <w:lang w:val="af-ZA" w:eastAsia="af-ZA"/>
        </w:rPr>
        <w:t>It is simultaneously a community of mutual care, in which wounded members both receive and extend healing, and in which human dignity is upheld across all its relationships .</w:t>
      </w:r>
      <w:r w:rsidR="003E6197" w:rsidRPr="00D45CE8">
        <w:rPr>
          <w:rStyle w:val="FootnoteReference"/>
          <w:rFonts w:ascii="Book Antiqua" w:eastAsia="Calibri" w:hAnsi="Book Antiqua"/>
          <w:lang w:val="af-ZA" w:eastAsia="af-ZA"/>
        </w:rPr>
        <w:footnoteReference w:id="69"/>
      </w:r>
      <w:r w:rsidRPr="00D45CE8">
        <w:rPr>
          <w:rFonts w:ascii="Book Antiqua" w:eastAsia="Calibri" w:hAnsi="Book Antiqua"/>
          <w:lang w:val="af-ZA" w:eastAsia="af-ZA"/>
        </w:rPr>
        <w:t xml:space="preserve"> Structures built along such trinitarian parallels stand in explicit contrast to structures organised around domination and dehumanisation, which Moltmann treats as fundamentally foreign to the participatory life internal to the Trinity.</w:t>
      </w:r>
      <w:r w:rsidR="0020544E" w:rsidRPr="00D45CE8">
        <w:rPr>
          <w:rFonts w:ascii="Book Antiqua" w:eastAsia="Calibri" w:hAnsi="Book Antiqua"/>
          <w:lang w:val="af-ZA" w:eastAsia="af-ZA"/>
        </w:rPr>
        <w:t xml:space="preserve"> </w:t>
      </w:r>
      <w:r w:rsidRPr="00D45CE8">
        <w:rPr>
          <w:rFonts w:ascii="Book Antiqua" w:eastAsia="Calibri" w:hAnsi="Book Antiqua"/>
          <w:lang w:val="af-ZA" w:eastAsia="af-ZA"/>
        </w:rPr>
        <w:t>How, then, might the church become such a healing community for children who have survived sexual abuse? Smit describes the faith community as an interpersonal organism committed to the restoration of relationship both with God and among its members, observing that the New Testament contains roughly ninety-six ‘one another’ texts that give this commitment concrete ethical content.</w:t>
      </w:r>
      <w:r w:rsidR="003E6197" w:rsidRPr="00D45CE8">
        <w:rPr>
          <w:rStyle w:val="FootnoteReference"/>
          <w:rFonts w:ascii="Book Antiqua" w:eastAsia="Calibri" w:hAnsi="Book Antiqua"/>
          <w:lang w:val="af-ZA" w:eastAsia="af-ZA"/>
        </w:rPr>
        <w:footnoteReference w:id="70"/>
      </w:r>
      <w:r w:rsidRPr="00D45CE8">
        <w:rPr>
          <w:rFonts w:ascii="Book Antiqua" w:eastAsia="Calibri" w:hAnsi="Book Antiqua"/>
          <w:lang w:val="af-ZA" w:eastAsia="af-ZA"/>
        </w:rPr>
        <w:t xml:space="preserve"> The church, on this reading, is an extension of the covenant of peace accomplished through Christ in the power of the Spirit—a community fashioned, in Pembroke's phrase, on parallels of the relationality that stands at the centre of trinitarian doctrine.</w:t>
      </w:r>
      <w:r w:rsidR="0020544E" w:rsidRPr="00D45CE8">
        <w:rPr>
          <w:rStyle w:val="FootnoteReference"/>
          <w:rFonts w:ascii="Book Antiqua" w:eastAsia="Calibri" w:hAnsi="Book Antiqua"/>
          <w:lang w:val="af-ZA" w:eastAsia="af-ZA"/>
        </w:rPr>
        <w:footnoteReference w:id="71"/>
      </w:r>
      <w:r w:rsidRPr="00D45CE8">
        <w:rPr>
          <w:rFonts w:ascii="Book Antiqua" w:eastAsia="Calibri" w:hAnsi="Book Antiqua"/>
          <w:lang w:val="af-ZA" w:eastAsia="af-ZA"/>
        </w:rPr>
        <w:t xml:space="preserve"> The resulting theological structure is triadic: a community (the Trinity) ministers healing through a community (the church) to a community (the world), such that the Triune God brings healing to abused children specifically through the mediating agency of a community of believers living in healthy </w:t>
      </w:r>
      <w:r w:rsidRPr="00D45CE8">
        <w:rPr>
          <w:rFonts w:ascii="Book Antiqua" w:eastAsia="Calibri" w:hAnsi="Book Antiqua"/>
          <w:lang w:val="af-ZA" w:eastAsia="af-ZA"/>
        </w:rPr>
        <w:lastRenderedPageBreak/>
        <w:t xml:space="preserve">relationship with one another. </w:t>
      </w:r>
      <w:r w:rsidR="00AE41C4">
        <w:rPr>
          <w:rFonts w:ascii="Book Antiqua" w:eastAsia="Calibri" w:hAnsi="Book Antiqua"/>
          <w:lang w:val="af-ZA" w:eastAsia="af-ZA"/>
        </w:rPr>
        <w:t xml:space="preserve">This theological logic </w:t>
      </w:r>
      <w:r w:rsidRPr="00D45CE8">
        <w:rPr>
          <w:rFonts w:ascii="Book Antiqua" w:eastAsia="Calibri" w:hAnsi="Book Antiqua"/>
          <w:lang w:val="af-ZA" w:eastAsia="af-ZA"/>
        </w:rPr>
        <w:t>grounds the practical pastoral care strategies developed in the section that follows.</w:t>
      </w:r>
    </w:p>
    <w:p w14:paraId="55B6BEA8" w14:textId="77777777" w:rsidR="009D3A02" w:rsidRPr="00EC4C7B" w:rsidRDefault="005B246F">
      <w:pPr>
        <w:spacing w:line="276" w:lineRule="auto"/>
        <w:jc w:val="both"/>
        <w:rPr>
          <w:rFonts w:eastAsia="Calibri"/>
          <w:b/>
          <w:bCs/>
          <w:lang w:val="af-ZA" w:eastAsia="af-ZA"/>
        </w:rPr>
      </w:pPr>
      <w:r>
        <w:rPr>
          <w:rFonts w:ascii="Book Antiqua" w:hAnsi="Book Antiqua"/>
          <w:b/>
          <w:bCs/>
        </w:rPr>
        <w:t>Practical Pastoral Care Strategies for Ghanaian Churches</w:t>
      </w:r>
    </w:p>
    <w:p w14:paraId="6A0A62DE" w14:textId="750BBB3E" w:rsidR="00BC50A9" w:rsidRPr="00D45CE8" w:rsidRDefault="00453090" w:rsidP="00C32E9C">
      <w:pPr>
        <w:spacing w:line="276" w:lineRule="auto"/>
        <w:jc w:val="both"/>
        <w:rPr>
          <w:rFonts w:ascii="Book Antiqua" w:eastAsia="Calibri" w:hAnsi="Book Antiqua"/>
          <w:lang w:val="af-ZA" w:eastAsia="af-ZA"/>
        </w:rPr>
      </w:pPr>
      <w:r w:rsidRPr="00D45CE8">
        <w:rPr>
          <w:rFonts w:ascii="Book Antiqua" w:eastAsia="Calibri" w:hAnsi="Book Antiqua"/>
          <w:lang w:val="af-ZA" w:eastAsia="af-ZA"/>
        </w:rPr>
        <w:t xml:space="preserve">Pastoral care, understood as </w:t>
      </w:r>
      <w:r w:rsidR="00AF638D">
        <w:rPr>
          <w:rFonts w:ascii="Book Antiqua" w:eastAsia="Calibri" w:hAnsi="Book Antiqua"/>
          <w:lang w:val="af-ZA" w:eastAsia="af-ZA"/>
        </w:rPr>
        <w:t>God’s caring activity enacted through human communities, can be conceptualised in relation to CSA as comprising both proactive strategies aimed at preventing abuse and reactive strategies</w:t>
      </w:r>
      <w:r w:rsidRPr="00D45CE8">
        <w:rPr>
          <w:rFonts w:ascii="Book Antiqua" w:eastAsia="Calibri" w:hAnsi="Book Antiqua"/>
          <w:lang w:val="af-ZA" w:eastAsia="af-ZA"/>
        </w:rPr>
        <w:t xml:space="preserve"> aimed at responding once abuse has occurred.</w:t>
      </w:r>
      <w:r w:rsidR="0020544E" w:rsidRPr="00D45CE8">
        <w:rPr>
          <w:rStyle w:val="FootnoteReference"/>
          <w:rFonts w:ascii="Book Antiqua" w:eastAsia="Calibri" w:hAnsi="Book Antiqua"/>
          <w:lang w:val="af-ZA" w:eastAsia="af-ZA"/>
        </w:rPr>
        <w:footnoteReference w:id="72"/>
      </w:r>
      <w:r w:rsidRPr="00D45CE8">
        <w:rPr>
          <w:rFonts w:ascii="Book Antiqua" w:eastAsia="Calibri" w:hAnsi="Book Antiqua"/>
          <w:lang w:val="af-ZA" w:eastAsia="af-ZA"/>
        </w:rPr>
        <w:t xml:space="preserve"> On the basis of the preceding theological analysis, six mutually reinforcing strategies are proposed for churches operating within the Ghanaian context.</w:t>
      </w:r>
      <w:r w:rsidR="00BC50A9" w:rsidRPr="00D45CE8">
        <w:rPr>
          <w:rFonts w:ascii="Book Antiqua" w:eastAsia="Calibri" w:hAnsi="Book Antiqua"/>
          <w:lang w:val="af-ZA" w:eastAsia="af-ZA"/>
        </w:rPr>
        <w:t xml:space="preserve"> </w:t>
      </w:r>
      <w:r w:rsidRPr="00D45CE8">
        <w:rPr>
          <w:rFonts w:ascii="Book Antiqua" w:eastAsia="Calibri" w:hAnsi="Book Antiqua"/>
          <w:lang w:val="af-ZA" w:eastAsia="af-ZA"/>
        </w:rPr>
        <w:t>First, churches should adopt contextual, child-centred theological frameworks that explicitly affirm children as bearers of the image of the Triune God. Kpalam rightly observes that without a clear theological vision of children, faith communities cannot reform the spirituality and praxis needed to respond holistically to children's needs; such a framework is a precondition for challenging the socio-cultural and ecclesial practices that dehumanise children and thereby enable abuse.</w:t>
      </w:r>
      <w:r w:rsidR="0020544E" w:rsidRPr="00D45CE8">
        <w:rPr>
          <w:rStyle w:val="FootnoteReference"/>
          <w:rFonts w:ascii="Book Antiqua" w:eastAsia="Calibri" w:hAnsi="Book Antiqua"/>
          <w:lang w:val="af-ZA" w:eastAsia="af-ZA"/>
        </w:rPr>
        <w:footnoteReference w:id="73"/>
      </w:r>
    </w:p>
    <w:p w14:paraId="5D741A6B" w14:textId="09C5065A" w:rsidR="00453090" w:rsidRPr="00D45CE8" w:rsidRDefault="00453090" w:rsidP="00C32E9C">
      <w:pPr>
        <w:spacing w:line="276" w:lineRule="auto"/>
        <w:jc w:val="both"/>
        <w:rPr>
          <w:rFonts w:ascii="Book Antiqua" w:eastAsia="Calibri" w:hAnsi="Book Antiqua"/>
          <w:lang w:val="af-ZA" w:eastAsia="af-ZA"/>
        </w:rPr>
      </w:pPr>
      <w:r w:rsidRPr="00D45CE8">
        <w:rPr>
          <w:rFonts w:ascii="Book Antiqua" w:eastAsia="Calibri" w:hAnsi="Book Antiqua"/>
          <w:lang w:val="af-ZA" w:eastAsia="af-ZA"/>
        </w:rPr>
        <w:t>Second, faith communities should develop and implement formal child protection policies that establish clear safeguarding procedures, accountability mechanisms, and sanctions for perpetrators. The Children</w:t>
      </w:r>
      <w:r w:rsidR="00E80497">
        <w:rPr>
          <w:rFonts w:ascii="Book Antiqua" w:eastAsia="Calibri" w:hAnsi="Book Antiqua"/>
          <w:lang w:val="af-ZA" w:eastAsia="af-ZA"/>
        </w:rPr>
        <w:t>’</w:t>
      </w:r>
      <w:r w:rsidRPr="00D45CE8">
        <w:rPr>
          <w:rFonts w:ascii="Book Antiqua" w:eastAsia="Calibri" w:hAnsi="Book Antiqua"/>
          <w:lang w:val="af-ZA" w:eastAsia="af-ZA"/>
        </w:rPr>
        <w:t>s Act, 1998 (Act 560) obliges all institutions to act in the best interests of children and to institute pragmatic protective measures; given the documented prevalence of CSA in Ghana, churches are correspondingly well placed to integrate child protection into pastoral ministry through intercessory prayer with and for children, advocacy against harmful socio-cultural norms, and the deliberate promotion of children</w:t>
      </w:r>
      <w:r w:rsidR="00C32E9C">
        <w:rPr>
          <w:rFonts w:ascii="Book Antiqua" w:eastAsia="Calibri" w:hAnsi="Book Antiqua"/>
          <w:lang w:val="af-ZA" w:eastAsia="af-ZA"/>
        </w:rPr>
        <w:t>’</w:t>
      </w:r>
      <w:r w:rsidRPr="00D45CE8">
        <w:rPr>
          <w:rFonts w:ascii="Book Antiqua" w:eastAsia="Calibri" w:hAnsi="Book Antiqua"/>
          <w:lang w:val="af-ZA" w:eastAsia="af-ZA"/>
        </w:rPr>
        <w:t>s participation in their own protection.</w:t>
      </w:r>
    </w:p>
    <w:p w14:paraId="606A8756" w14:textId="6BEFB2E4" w:rsidR="00BC50A9" w:rsidRPr="00D45CE8" w:rsidRDefault="00453090" w:rsidP="00C72980">
      <w:pPr>
        <w:spacing w:line="276" w:lineRule="auto"/>
        <w:jc w:val="both"/>
        <w:rPr>
          <w:rFonts w:ascii="Book Antiqua" w:eastAsia="Calibri" w:hAnsi="Book Antiqua"/>
          <w:lang w:val="af-ZA" w:eastAsia="af-ZA"/>
        </w:rPr>
      </w:pPr>
      <w:r w:rsidRPr="00D45CE8">
        <w:rPr>
          <w:rFonts w:ascii="Book Antiqua" w:eastAsia="Calibri" w:hAnsi="Book Antiqua"/>
          <w:lang w:val="af-ZA" w:eastAsia="af-ZA"/>
        </w:rPr>
        <w:t xml:space="preserve">Third, </w:t>
      </w:r>
      <w:r w:rsidR="00C72980">
        <w:rPr>
          <w:rFonts w:ascii="Book Antiqua" w:eastAsia="Calibri" w:hAnsi="Book Antiqua"/>
          <w:lang w:val="af-ZA" w:eastAsia="af-ZA"/>
        </w:rPr>
        <w:t>training church leaders in child protection should be</w:t>
      </w:r>
      <w:r w:rsidRPr="00D45CE8">
        <w:rPr>
          <w:rFonts w:ascii="Book Antiqua" w:eastAsia="Calibri" w:hAnsi="Book Antiqua"/>
          <w:lang w:val="af-ZA" w:eastAsia="af-ZA"/>
        </w:rPr>
        <w:t xml:space="preserve"> an explicit component of pastoral strategy. Leaders require formation not only in the theological conviction that protecting vulnerable children flows directly from belief in the Triune God, but also in the practical scope of child abuse within their communities, in relevant national law and policy, and in appropriate reporting protocols—training that equips them for effective pastoral ministry of protection rather than inadvertent complicity through silence or ignorance.</w:t>
      </w:r>
    </w:p>
    <w:p w14:paraId="32089E64" w14:textId="4D54400B" w:rsidR="00BC50A9" w:rsidRPr="00761D88" w:rsidRDefault="00453090" w:rsidP="00761D88">
      <w:pPr>
        <w:spacing w:line="276" w:lineRule="auto"/>
        <w:jc w:val="both"/>
        <w:rPr>
          <w:rFonts w:ascii="Book Antiqua" w:eastAsia="Calibri" w:hAnsi="Book Antiqua"/>
          <w:lang w:val="af-ZA" w:eastAsia="af-ZA"/>
        </w:rPr>
      </w:pPr>
      <w:r w:rsidRPr="00D45CE8">
        <w:rPr>
          <w:rFonts w:ascii="Book Antiqua" w:eastAsia="Calibri" w:hAnsi="Book Antiqua"/>
          <w:lang w:val="af-ZA" w:eastAsia="af-ZA"/>
        </w:rPr>
        <w:lastRenderedPageBreak/>
        <w:t>Fourth, churches should embed advocacy within their pastoral care strategy, extending beyond general awareness-raising to sustained prophetic engagement with the cultural, social, and institutional practices that place children at risk. Sermons, Bible study groups, community forums, and public campaigns can each be deployed to challenge norms that enforce silence around sexual abuse and heighten children's vulnerability, while church leaders can advocate directly for the enforcement of child protection law, support survivors and their families, and collaborate with schools, traditional authorities, and community leaders to build child-safe environments.</w:t>
      </w:r>
      <w:r w:rsidR="00BC50A9" w:rsidRPr="00D45CE8">
        <w:rPr>
          <w:rFonts w:ascii="Book Antiqua" w:eastAsia="Calibri" w:hAnsi="Book Antiqua"/>
          <w:lang w:val="af-ZA" w:eastAsia="af-ZA"/>
        </w:rPr>
        <w:t xml:space="preserve"> </w:t>
      </w:r>
      <w:r w:rsidRPr="00D45CE8">
        <w:rPr>
          <w:rFonts w:ascii="Book Antiqua" w:eastAsia="Calibri" w:hAnsi="Book Antiqua"/>
          <w:lang w:val="af-ZA" w:eastAsia="af-ZA"/>
        </w:rPr>
        <w:t>Fifth, churches should actively empower children as agents in their own protection, equipping them with age-appropriate knowledge and skills to recognise, resist, and report abuse—a strategy consonant with the theological claim, developed above, that children are participants and not merely objects within the pastoral relationship.</w:t>
      </w:r>
      <w:r w:rsidR="0020544E" w:rsidRPr="00D45CE8">
        <w:rPr>
          <w:rStyle w:val="FootnoteReference"/>
          <w:rFonts w:ascii="Book Antiqua" w:eastAsia="Calibri" w:hAnsi="Book Antiqua"/>
          <w:lang w:val="af-ZA" w:eastAsia="af-ZA"/>
        </w:rPr>
        <w:footnoteReference w:id="74"/>
      </w:r>
      <w:r w:rsidR="00BC50A9" w:rsidRPr="00D45CE8">
        <w:rPr>
          <w:rFonts w:ascii="Book Antiqua" w:eastAsia="Calibri" w:hAnsi="Book Antiqua"/>
          <w:lang w:val="af-ZA" w:eastAsia="af-ZA"/>
        </w:rPr>
        <w:t xml:space="preserve"> </w:t>
      </w:r>
      <w:r w:rsidRPr="00D45CE8">
        <w:rPr>
          <w:rFonts w:ascii="Book Antiqua" w:eastAsia="Calibri" w:hAnsi="Book Antiqua"/>
          <w:lang w:val="af-ZA" w:eastAsia="af-ZA"/>
        </w:rPr>
        <w:t>Sixth, and finally, churches should pursue strategic partnerships with state agencies and specialist child protection organisations—including, in Ghana, the Domestic Violence and Victim Support Unit of the Ghana Police Service, the Department of Children, and the Department of Social Welfare—to secure a coordinated, multisectoral response to CSA. Effective ecclesial safeguarding, in other words, cannot be pursued in isolation from the wider protective architecture of the state.</w:t>
      </w:r>
    </w:p>
    <w:p w14:paraId="6EA6B799" w14:textId="77777777" w:rsidR="009D3A02" w:rsidRPr="00EC4C7B" w:rsidRDefault="0000100A">
      <w:pPr>
        <w:spacing w:line="276" w:lineRule="auto"/>
        <w:jc w:val="both"/>
        <w:rPr>
          <w:rFonts w:eastAsia="Calibri"/>
          <w:b/>
          <w:bCs/>
          <w:lang w:val="af-ZA" w:eastAsia="af-ZA"/>
        </w:rPr>
      </w:pPr>
      <w:r>
        <w:rPr>
          <w:rFonts w:ascii="Book Antiqua" w:hAnsi="Book Antiqua"/>
          <w:b/>
          <w:bCs/>
        </w:rPr>
        <w:t>Conclusion and Implications for Pastoral Practice</w:t>
      </w:r>
    </w:p>
    <w:p w14:paraId="1AAC2E55" w14:textId="66CB0226" w:rsidR="00BC50A9" w:rsidRPr="00D45CE8" w:rsidRDefault="00453090" w:rsidP="00AF638D">
      <w:pPr>
        <w:spacing w:line="276" w:lineRule="auto"/>
        <w:jc w:val="both"/>
        <w:rPr>
          <w:rFonts w:ascii="Book Antiqua" w:eastAsia="Calibri" w:hAnsi="Book Antiqua"/>
          <w:lang w:val="af-ZA" w:eastAsia="af-ZA"/>
        </w:rPr>
      </w:pPr>
      <w:r w:rsidRPr="00D45CE8">
        <w:rPr>
          <w:rFonts w:ascii="Book Antiqua" w:eastAsia="Calibri" w:hAnsi="Book Antiqua"/>
          <w:lang w:val="af-ZA" w:eastAsia="af-ZA"/>
        </w:rPr>
        <w:t>This article has argued that a pastoral response to CSA within Ghanaian faith communities should be rooted in the theological conviction that the Trinity ministers healing to sexually abused children through a community of believers living in and through healthy relationship. Relationality, as the central motif of trinitarian doctrine, ought correspondingly to constitute the defining mark of this community; the healthy relationships cultivated within it, and extended outward to a hurting world, become the medium through which the brokenness occasioned by CSA is addressed. Faith communities in Ghana are accordingly invited to understand themselves as healing communities—a new community created by the Father through the Son to live in the power of the Spirit, and thereby drawn into participation in the trinitarian life itself, becoming a community of compassionate believers through whom the Triune God brings healing, restoration, and peace to a hurting world. On this account, the church is not merely an institution but a community of believers called to a mode of life consistent with the nature, will, and purpose of the Trinity.</w:t>
      </w:r>
    </w:p>
    <w:p w14:paraId="1816BE88" w14:textId="69958683" w:rsidR="004221DA" w:rsidRDefault="00453090" w:rsidP="00614EF3">
      <w:pPr>
        <w:spacing w:line="276" w:lineRule="auto"/>
        <w:jc w:val="both"/>
        <w:rPr>
          <w:rFonts w:ascii="Book Antiqua" w:eastAsia="Calibri" w:hAnsi="Book Antiqua"/>
          <w:lang w:val="af-ZA" w:eastAsia="af-ZA"/>
        </w:rPr>
      </w:pPr>
      <w:r w:rsidRPr="00D45CE8">
        <w:rPr>
          <w:rFonts w:ascii="Book Antiqua" w:eastAsia="Calibri" w:hAnsi="Book Antiqua"/>
          <w:lang w:val="af-ZA" w:eastAsia="af-ZA"/>
        </w:rPr>
        <w:lastRenderedPageBreak/>
        <w:t>It is recommended, first, that faith communities in Ghana, working from this relational understanding of the Trinity, develop their own contextual child theologies and child protection policies capable of informing concrete programmes and interventions aimed at bringing healing to children who have suffered abuse and dehumanisation, both within faith communities and in the wider society. Second, further empirical research is recommended into the specific structures, policies, and programmes that different church denominations across diverse Ghanaian communities have developed, or have yet to develop, in response to CSA—research that would allow the theological framework advanced here to be tested against, and refined by, the concrete practice of Ghanaian churches.</w:t>
      </w:r>
    </w:p>
    <w:p w14:paraId="5CDEB7D9" w14:textId="77777777" w:rsidR="004221DA" w:rsidRPr="009F12A9" w:rsidRDefault="004221DA" w:rsidP="004221DA">
      <w:pPr>
        <w:spacing w:line="276" w:lineRule="auto"/>
        <w:rPr>
          <w:rFonts w:ascii="Book Antiqua" w:hAnsi="Book Antiqua"/>
          <w:b/>
          <w:bCs/>
        </w:rPr>
      </w:pPr>
      <w:r w:rsidRPr="009F12A9">
        <w:rPr>
          <w:rFonts w:ascii="Book Antiqua" w:hAnsi="Book Antiqua"/>
          <w:b/>
          <w:bCs/>
        </w:rPr>
        <w:t>Note on Copyright</w:t>
      </w:r>
    </w:p>
    <w:p w14:paraId="1886B003" w14:textId="0E81D075" w:rsidR="007A5D61" w:rsidRDefault="004221DA" w:rsidP="00A1238B">
      <w:pPr>
        <w:jc w:val="both"/>
        <w:rPr>
          <w:rFonts w:ascii="Book Antiqua" w:hAnsi="Book Antiqua"/>
        </w:rPr>
      </w:pPr>
      <w:r w:rsidRPr="00ED5EAF">
        <w:rPr>
          <w:rFonts w:ascii="Book Antiqua" w:hAnsi="Book Antiqua"/>
        </w:rPr>
        <w:t>This is an Open Access article distributed under the terms of the Creative Commons Attribution 4.0 International License, which permits unrestricted use, distribution, adaptation, and reproduction in any medium, provided the original work is properly cited.</w:t>
      </w:r>
    </w:p>
    <w:p w14:paraId="5A8663B6" w14:textId="77777777" w:rsidR="00A1238B" w:rsidRPr="00A1238B" w:rsidRDefault="00A1238B" w:rsidP="00A1238B">
      <w:pPr>
        <w:jc w:val="both"/>
        <w:rPr>
          <w:rFonts w:ascii="Book Antiqua" w:hAnsi="Book Antiqua"/>
        </w:rPr>
      </w:pPr>
    </w:p>
    <w:p w14:paraId="36784DA4" w14:textId="73A4290F" w:rsidR="007A5D61" w:rsidRPr="00190012" w:rsidRDefault="0074578F" w:rsidP="006C2C79">
      <w:pPr>
        <w:spacing w:after="0" w:line="480" w:lineRule="auto"/>
        <w:jc w:val="both"/>
        <w:rPr>
          <w:rFonts w:ascii="Book Antiqua" w:eastAsia="Calibri" w:hAnsi="Book Antiqua"/>
          <w:b/>
          <w:bCs/>
          <w:lang w:val="af-ZA" w:eastAsia="af-ZA"/>
        </w:rPr>
      </w:pPr>
      <w:r>
        <w:rPr>
          <w:rFonts w:ascii="Book Antiqua" w:eastAsia="Calibri" w:hAnsi="Book Antiqua"/>
          <w:b/>
          <w:bCs/>
          <w:lang w:val="af-ZA" w:eastAsia="af-ZA"/>
        </w:rPr>
        <w:t>Bibliography</w:t>
      </w:r>
    </w:p>
    <w:p w14:paraId="4C3C13C2" w14:textId="77777777" w:rsidR="00EC4C7B" w:rsidRPr="00AF638D" w:rsidRDefault="00EC4C7B" w:rsidP="00AF638D">
      <w:pPr>
        <w:spacing w:after="0" w:line="276" w:lineRule="auto"/>
        <w:ind w:left="540" w:hanging="540"/>
        <w:jc w:val="both"/>
        <w:rPr>
          <w:rFonts w:ascii="Book Antiqua" w:eastAsia="Times New Roman" w:hAnsi="Book Antiqua"/>
        </w:rPr>
      </w:pPr>
      <w:r w:rsidRPr="00AF638D">
        <w:rPr>
          <w:rFonts w:ascii="Book Antiqua" w:eastAsia="Times New Roman" w:hAnsi="Book Antiqua"/>
        </w:rPr>
        <w:t xml:space="preserve">Ackermann, Denise M. “A Voice Was Heard in Ramah: A Feminist Theology of Praxis for Healing in South Africa.” In </w:t>
      </w:r>
      <w:r w:rsidRPr="00AF638D">
        <w:rPr>
          <w:rFonts w:ascii="Book Antiqua" w:eastAsia="Times New Roman" w:hAnsi="Book Antiqua"/>
          <w:i/>
          <w:iCs/>
        </w:rPr>
        <w:t>Claiming Our Footprints: South African Women Reflect on Context, Identity and Spirituality</w:t>
      </w:r>
      <w:r w:rsidRPr="00AF638D">
        <w:rPr>
          <w:rFonts w:ascii="Book Antiqua" w:eastAsia="Times New Roman" w:hAnsi="Book Antiqua"/>
        </w:rPr>
        <w:t>, edited by Denise M. Ackermann, Elna Mouton, and Riet Bons-Storm. Stellenbosch: EFSA, 1998.</w:t>
      </w:r>
    </w:p>
    <w:p w14:paraId="37CEE081" w14:textId="77777777" w:rsidR="00EC4C7B" w:rsidRPr="00AF638D" w:rsidRDefault="00EC4C7B" w:rsidP="00AF638D">
      <w:pPr>
        <w:spacing w:after="0" w:line="276" w:lineRule="auto"/>
        <w:ind w:left="540" w:hanging="540"/>
        <w:jc w:val="both"/>
        <w:rPr>
          <w:rFonts w:ascii="Book Antiqua" w:eastAsia="Times New Roman" w:hAnsi="Book Antiqua"/>
        </w:rPr>
      </w:pPr>
      <w:r w:rsidRPr="00AF638D">
        <w:rPr>
          <w:rFonts w:ascii="Book Antiqua" w:eastAsia="Times New Roman" w:hAnsi="Book Antiqua"/>
        </w:rPr>
        <w:t xml:space="preserve">Agu, Anthony, Andrews Brown, Maimuna Adamu-Issah, and Angela Duncan. “Child Sexual Abuse in Ghanaian Public Schools: A Descriptive and Exploratory Study.” </w:t>
      </w:r>
      <w:r w:rsidRPr="00AF638D">
        <w:rPr>
          <w:rFonts w:ascii="Book Antiqua" w:eastAsia="Times New Roman" w:hAnsi="Book Antiqua"/>
          <w:i/>
          <w:iCs/>
        </w:rPr>
        <w:t>African Journal of Social Work Studies</w:t>
      </w:r>
      <w:r w:rsidRPr="00AF638D">
        <w:rPr>
          <w:rFonts w:ascii="Book Antiqua" w:eastAsia="Times New Roman" w:hAnsi="Book Antiqua"/>
        </w:rPr>
        <w:t xml:space="preserve"> (2018): 122. </w:t>
      </w:r>
    </w:p>
    <w:p w14:paraId="16878557" w14:textId="77777777" w:rsidR="00EC4C7B" w:rsidRPr="00AF638D" w:rsidRDefault="00EC4C7B" w:rsidP="00AF638D">
      <w:pPr>
        <w:spacing w:after="0" w:line="276" w:lineRule="auto"/>
        <w:ind w:left="540" w:hanging="540"/>
        <w:jc w:val="both"/>
        <w:rPr>
          <w:rFonts w:ascii="Book Antiqua" w:eastAsia="Times New Roman" w:hAnsi="Book Antiqua"/>
        </w:rPr>
      </w:pPr>
      <w:r w:rsidRPr="00AF638D">
        <w:rPr>
          <w:rFonts w:ascii="Book Antiqua" w:eastAsia="Times New Roman" w:hAnsi="Book Antiqua"/>
        </w:rPr>
        <w:t xml:space="preserve">Ampofo, Akosua Adomako, Josephine Beoku-Betts, Wairimu Ngaruiya Njambi, and Mary Osirim. “Women’s and Gender Studies in English-Speaking Sub-Saharan Africa.” </w:t>
      </w:r>
      <w:r w:rsidRPr="00AF638D">
        <w:rPr>
          <w:rFonts w:ascii="Book Antiqua" w:eastAsia="Times New Roman" w:hAnsi="Book Antiqua"/>
          <w:i/>
          <w:iCs/>
        </w:rPr>
        <w:t>Gender &amp; Society</w:t>
      </w:r>
      <w:r w:rsidRPr="00AF638D">
        <w:rPr>
          <w:rFonts w:ascii="Book Antiqua" w:eastAsia="Times New Roman" w:hAnsi="Book Antiqua"/>
        </w:rPr>
        <w:t xml:space="preserve"> 18, no. 6 (2004): 685–714.</w:t>
      </w:r>
    </w:p>
    <w:p w14:paraId="6813113A" w14:textId="77777777" w:rsidR="00EC4C7B" w:rsidRPr="00AF638D" w:rsidRDefault="00EC4C7B" w:rsidP="00AF638D">
      <w:pPr>
        <w:spacing w:after="0" w:line="276" w:lineRule="auto"/>
        <w:ind w:left="540" w:hanging="540"/>
        <w:jc w:val="both"/>
        <w:rPr>
          <w:rFonts w:ascii="Book Antiqua" w:eastAsia="Times New Roman" w:hAnsi="Book Antiqua"/>
        </w:rPr>
      </w:pPr>
      <w:r w:rsidRPr="00AF638D">
        <w:rPr>
          <w:rFonts w:ascii="Book Antiqua" w:eastAsia="Times New Roman" w:hAnsi="Book Antiqua"/>
        </w:rPr>
        <w:t xml:space="preserve">Ballard, Paul, and John Pritchard. </w:t>
      </w:r>
      <w:r w:rsidRPr="00AF638D">
        <w:rPr>
          <w:rFonts w:ascii="Book Antiqua" w:eastAsia="Times New Roman" w:hAnsi="Book Antiqua"/>
          <w:i/>
          <w:iCs/>
        </w:rPr>
        <w:t>Practical Theology in Action: Christian Thinking in the Service of Church and Society</w:t>
      </w:r>
      <w:r w:rsidRPr="00AF638D">
        <w:rPr>
          <w:rFonts w:ascii="Book Antiqua" w:eastAsia="Times New Roman" w:hAnsi="Book Antiqua"/>
        </w:rPr>
        <w:t>. 2nd ed. London: SPCK, 2006.</w:t>
      </w:r>
    </w:p>
    <w:p w14:paraId="3E88C7DF" w14:textId="77777777" w:rsidR="00EC4C7B" w:rsidRPr="00AF638D" w:rsidRDefault="00EC4C7B" w:rsidP="00AF638D">
      <w:pPr>
        <w:spacing w:after="0" w:line="276" w:lineRule="auto"/>
        <w:ind w:left="540" w:hanging="540"/>
        <w:jc w:val="both"/>
        <w:rPr>
          <w:rFonts w:ascii="Book Antiqua" w:eastAsia="Times New Roman" w:hAnsi="Book Antiqua"/>
        </w:rPr>
      </w:pPr>
      <w:r w:rsidRPr="00AF638D">
        <w:rPr>
          <w:rFonts w:ascii="Book Antiqua" w:eastAsia="Times New Roman" w:hAnsi="Book Antiqua"/>
        </w:rPr>
        <w:t xml:space="preserve">Behere, Prakash B., and Anweshak Mulmule. “Sexual Abuse in Children.” </w:t>
      </w:r>
      <w:r w:rsidRPr="00AF638D">
        <w:rPr>
          <w:rFonts w:ascii="Book Antiqua" w:eastAsia="Times New Roman" w:hAnsi="Book Antiqua"/>
          <w:i/>
          <w:iCs/>
        </w:rPr>
        <w:t>Journal of Indian Association for Child and Adolescent Mental Health</w:t>
      </w:r>
      <w:r w:rsidRPr="00AF638D">
        <w:rPr>
          <w:rFonts w:ascii="Book Antiqua" w:eastAsia="Times New Roman" w:hAnsi="Book Antiqua"/>
        </w:rPr>
        <w:t xml:space="preserve"> 10, no. 2 (2014): 96–119.</w:t>
      </w:r>
    </w:p>
    <w:p w14:paraId="20687BC6" w14:textId="77777777" w:rsidR="00EC4C7B" w:rsidRPr="00AF638D" w:rsidRDefault="00EC4C7B" w:rsidP="00AF638D">
      <w:pPr>
        <w:spacing w:after="0" w:line="276" w:lineRule="auto"/>
        <w:ind w:left="540" w:hanging="540"/>
        <w:jc w:val="both"/>
        <w:rPr>
          <w:rFonts w:ascii="Book Antiqua" w:eastAsia="Times New Roman" w:hAnsi="Book Antiqua"/>
        </w:rPr>
      </w:pPr>
      <w:r w:rsidRPr="00AF638D">
        <w:rPr>
          <w:rFonts w:ascii="Book Antiqua" w:eastAsia="Times New Roman" w:hAnsi="Book Antiqua"/>
        </w:rPr>
        <w:t xml:space="preserve">Bevans, Stephen B. </w:t>
      </w:r>
      <w:r w:rsidRPr="00AF638D">
        <w:rPr>
          <w:rFonts w:ascii="Book Antiqua" w:eastAsia="Times New Roman" w:hAnsi="Book Antiqua"/>
          <w:i/>
          <w:iCs/>
        </w:rPr>
        <w:t>An Introduction to Theology in Global Perspective</w:t>
      </w:r>
      <w:r w:rsidRPr="00AF638D">
        <w:rPr>
          <w:rFonts w:ascii="Book Antiqua" w:eastAsia="Times New Roman" w:hAnsi="Book Antiqua"/>
        </w:rPr>
        <w:t>. Maryknoll, NY: Orbis Books, 2018.</w:t>
      </w:r>
    </w:p>
    <w:p w14:paraId="63611286" w14:textId="77777777" w:rsidR="00EC4C7B" w:rsidRPr="00AF638D" w:rsidRDefault="00EC4C7B" w:rsidP="00AF638D">
      <w:pPr>
        <w:spacing w:after="0" w:line="276" w:lineRule="auto"/>
        <w:ind w:left="540" w:hanging="540"/>
        <w:jc w:val="both"/>
        <w:rPr>
          <w:rFonts w:ascii="Book Antiqua" w:eastAsia="Times New Roman" w:hAnsi="Book Antiqua"/>
        </w:rPr>
      </w:pPr>
      <w:r w:rsidRPr="00AF638D">
        <w:rPr>
          <w:rFonts w:ascii="Book Antiqua" w:eastAsia="Times New Roman" w:hAnsi="Book Antiqua"/>
        </w:rPr>
        <w:lastRenderedPageBreak/>
        <w:t xml:space="preserve">Bevans, Stephen B. </w:t>
      </w:r>
      <w:r w:rsidRPr="00AF638D">
        <w:rPr>
          <w:rFonts w:ascii="Book Antiqua" w:eastAsia="Times New Roman" w:hAnsi="Book Antiqua"/>
          <w:i/>
          <w:iCs/>
        </w:rPr>
        <w:t>Models of Contextual Theology</w:t>
      </w:r>
      <w:r w:rsidRPr="00AF638D">
        <w:rPr>
          <w:rFonts w:ascii="Book Antiqua" w:eastAsia="Times New Roman" w:hAnsi="Book Antiqua"/>
        </w:rPr>
        <w:t>. Rev. and expanded ed. Maryknoll, NY: Orbis Books, 2002.</w:t>
      </w:r>
    </w:p>
    <w:p w14:paraId="1E109658" w14:textId="77777777" w:rsidR="00EC4C7B" w:rsidRPr="00AF638D" w:rsidRDefault="00EC4C7B" w:rsidP="00AF638D">
      <w:pPr>
        <w:spacing w:after="0" w:line="276" w:lineRule="auto"/>
        <w:ind w:left="540" w:hanging="540"/>
        <w:jc w:val="both"/>
        <w:rPr>
          <w:rFonts w:ascii="Book Antiqua" w:eastAsia="Times New Roman" w:hAnsi="Book Antiqua"/>
        </w:rPr>
      </w:pPr>
      <w:r w:rsidRPr="00AF638D">
        <w:rPr>
          <w:rFonts w:ascii="Book Antiqua" w:eastAsia="Times New Roman" w:hAnsi="Book Antiqua"/>
        </w:rPr>
        <w:t xml:space="preserve">Bitrus, Ibrahim S. “The Trinity and Human Society: An African Perspective.” </w:t>
      </w:r>
      <w:r w:rsidRPr="00AF638D">
        <w:rPr>
          <w:rFonts w:ascii="Book Antiqua" w:eastAsia="Times New Roman" w:hAnsi="Book Antiqua"/>
          <w:i/>
          <w:iCs/>
        </w:rPr>
        <w:t>HTS Teologiese Studies/Theological Studies</w:t>
      </w:r>
      <w:r w:rsidRPr="00AF638D">
        <w:rPr>
          <w:rFonts w:ascii="Book Antiqua" w:eastAsia="Times New Roman" w:hAnsi="Book Antiqua"/>
        </w:rPr>
        <w:t xml:space="preserve"> 73, no. 3 (2017): a3848. </w:t>
      </w:r>
      <w:hyperlink r:id="rId8" w:history="1">
        <w:r w:rsidRPr="00AF638D">
          <w:rPr>
            <w:rFonts w:ascii="Book Antiqua" w:eastAsia="Times New Roman" w:hAnsi="Book Antiqua"/>
          </w:rPr>
          <w:t>https://doi.org/10.4102/hts.v73i3.3848</w:t>
        </w:r>
      </w:hyperlink>
      <w:r w:rsidRPr="00AF638D">
        <w:rPr>
          <w:rFonts w:ascii="Book Antiqua" w:eastAsia="Times New Roman" w:hAnsi="Book Antiqua"/>
        </w:rPr>
        <w:t>.</w:t>
      </w:r>
    </w:p>
    <w:p w14:paraId="7D646483" w14:textId="77777777" w:rsidR="00EC4C7B" w:rsidRPr="00AF638D" w:rsidRDefault="00EC4C7B" w:rsidP="00AF638D">
      <w:pPr>
        <w:spacing w:after="0" w:line="276" w:lineRule="auto"/>
        <w:ind w:left="540" w:hanging="540"/>
        <w:jc w:val="both"/>
        <w:rPr>
          <w:rFonts w:ascii="Book Antiqua" w:eastAsia="Times New Roman" w:hAnsi="Book Antiqua"/>
        </w:rPr>
      </w:pPr>
      <w:r w:rsidRPr="00AF638D">
        <w:rPr>
          <w:rFonts w:ascii="Book Antiqua" w:eastAsia="Times New Roman" w:hAnsi="Book Antiqua"/>
        </w:rPr>
        <w:t xml:space="preserve">Bunge, Marcia J. “Child, Children.” In </w:t>
      </w:r>
      <w:r w:rsidRPr="00AF638D">
        <w:rPr>
          <w:rFonts w:ascii="Book Antiqua" w:eastAsia="Times New Roman" w:hAnsi="Book Antiqua"/>
          <w:i/>
          <w:iCs/>
        </w:rPr>
        <w:t>The Blackwell Companion to Christian Ethics</w:t>
      </w:r>
      <w:r w:rsidRPr="00AF638D">
        <w:rPr>
          <w:rFonts w:ascii="Book Antiqua" w:eastAsia="Times New Roman" w:hAnsi="Book Antiqua"/>
        </w:rPr>
        <w:t>, edited by Stanley Hauerwas and Samuel Wells. Oxford: Blackwell, 2008.</w:t>
      </w:r>
    </w:p>
    <w:p w14:paraId="0F70FEC9" w14:textId="77777777" w:rsidR="00EC4C7B" w:rsidRPr="00AF638D" w:rsidRDefault="00EC4C7B" w:rsidP="00AF638D">
      <w:pPr>
        <w:spacing w:after="0" w:line="276" w:lineRule="auto"/>
        <w:ind w:left="540" w:hanging="540"/>
        <w:jc w:val="both"/>
        <w:rPr>
          <w:rFonts w:ascii="Book Antiqua" w:eastAsia="Times New Roman" w:hAnsi="Book Antiqua"/>
        </w:rPr>
      </w:pPr>
      <w:r w:rsidRPr="00AF638D">
        <w:rPr>
          <w:rFonts w:ascii="Book Antiqua" w:eastAsia="Times New Roman" w:hAnsi="Book Antiqua"/>
        </w:rPr>
        <w:t xml:space="preserve">Cahalan, Kathleen A., and Gordon S. Mikoski, eds. </w:t>
      </w:r>
      <w:r w:rsidRPr="00AF638D">
        <w:rPr>
          <w:rFonts w:ascii="Book Antiqua" w:eastAsia="Times New Roman" w:hAnsi="Book Antiqua"/>
          <w:i/>
          <w:iCs/>
        </w:rPr>
        <w:t>Opening the Field of Practical Theology: An Introduction</w:t>
      </w:r>
      <w:r w:rsidRPr="00AF638D">
        <w:rPr>
          <w:rFonts w:ascii="Book Antiqua" w:eastAsia="Times New Roman" w:hAnsi="Book Antiqua"/>
        </w:rPr>
        <w:t>. Lanham, MD: Rowman &amp; Littlefield, 2014.</w:t>
      </w:r>
    </w:p>
    <w:p w14:paraId="7CEB2EF8" w14:textId="77777777" w:rsidR="00EC4C7B" w:rsidRPr="00AF638D" w:rsidRDefault="00EC4C7B" w:rsidP="00AF638D">
      <w:pPr>
        <w:spacing w:after="0" w:line="276" w:lineRule="auto"/>
        <w:ind w:left="540" w:hanging="540"/>
        <w:jc w:val="both"/>
        <w:rPr>
          <w:rFonts w:ascii="Book Antiqua" w:eastAsia="Times New Roman" w:hAnsi="Book Antiqua"/>
        </w:rPr>
      </w:pPr>
      <w:r w:rsidRPr="00AF638D">
        <w:rPr>
          <w:rFonts w:ascii="Book Antiqua" w:eastAsia="Times New Roman" w:hAnsi="Book Antiqua"/>
        </w:rPr>
        <w:t xml:space="preserve">Child Research and Resource Centre. </w:t>
      </w:r>
      <w:r w:rsidRPr="00AF638D">
        <w:rPr>
          <w:rFonts w:ascii="Book Antiqua" w:eastAsia="Times New Roman" w:hAnsi="Book Antiqua"/>
          <w:i/>
          <w:iCs/>
        </w:rPr>
        <w:t>Report on Child Sexual Abuse in Ghana</w:t>
      </w:r>
      <w:r w:rsidRPr="00AF638D">
        <w:rPr>
          <w:rFonts w:ascii="Book Antiqua" w:eastAsia="Times New Roman" w:hAnsi="Book Antiqua"/>
        </w:rPr>
        <w:t>. Accra: Child Research and Resource Centre, 2009.</w:t>
      </w:r>
    </w:p>
    <w:p w14:paraId="6575EB02" w14:textId="77777777" w:rsidR="00EC4C7B" w:rsidRPr="00AF638D" w:rsidRDefault="00EC4C7B" w:rsidP="00AF638D">
      <w:pPr>
        <w:spacing w:after="0" w:line="276" w:lineRule="auto"/>
        <w:ind w:left="540" w:hanging="540"/>
        <w:jc w:val="both"/>
        <w:rPr>
          <w:rFonts w:ascii="Book Antiqua" w:eastAsia="Times New Roman" w:hAnsi="Book Antiqua"/>
        </w:rPr>
      </w:pPr>
      <w:r w:rsidRPr="00AF638D">
        <w:rPr>
          <w:rFonts w:ascii="Book Antiqua" w:eastAsia="Times New Roman" w:hAnsi="Book Antiqua"/>
        </w:rPr>
        <w:t xml:space="preserve">Cochrane, James R., John de Gruchy, and Robin Petersen. </w:t>
      </w:r>
      <w:r w:rsidRPr="00AF638D">
        <w:rPr>
          <w:rFonts w:ascii="Book Antiqua" w:eastAsia="Times New Roman" w:hAnsi="Book Antiqua"/>
          <w:i/>
          <w:iCs/>
        </w:rPr>
        <w:t>In Word and Deed: Towards a Practical Theology for Social Transformation</w:t>
      </w:r>
      <w:r w:rsidRPr="00AF638D">
        <w:rPr>
          <w:rFonts w:ascii="Book Antiqua" w:eastAsia="Times New Roman" w:hAnsi="Book Antiqua"/>
        </w:rPr>
        <w:t>. Pietermaritzburg: Cluster Publications, 1991.</w:t>
      </w:r>
    </w:p>
    <w:p w14:paraId="77C5A2EF" w14:textId="77777777" w:rsidR="00EC4C7B" w:rsidRPr="00AF638D" w:rsidRDefault="00EC4C7B" w:rsidP="00AF638D">
      <w:pPr>
        <w:spacing w:after="0" w:line="276" w:lineRule="auto"/>
        <w:ind w:left="540" w:hanging="540"/>
        <w:jc w:val="both"/>
        <w:rPr>
          <w:rFonts w:ascii="Book Antiqua" w:eastAsia="Times New Roman" w:hAnsi="Book Antiqua"/>
        </w:rPr>
      </w:pPr>
      <w:r w:rsidRPr="00AF638D">
        <w:rPr>
          <w:rFonts w:ascii="Book Antiqua" w:eastAsia="Times New Roman" w:hAnsi="Book Antiqua"/>
        </w:rPr>
        <w:t xml:space="preserve">Dillen, Annemie. “Can Parents and Children Be Friends? A Relational-Theological Exploration of the Asymmetry and Mutuality Between Parents and Children.” </w:t>
      </w:r>
      <w:r w:rsidRPr="00AF638D">
        <w:rPr>
          <w:rFonts w:ascii="Book Antiqua" w:eastAsia="Times New Roman" w:hAnsi="Book Antiqua"/>
          <w:i/>
          <w:iCs/>
        </w:rPr>
        <w:t>Journal of Empirical Theology</w:t>
      </w:r>
      <w:r w:rsidRPr="00AF638D">
        <w:rPr>
          <w:rFonts w:ascii="Book Antiqua" w:eastAsia="Times New Roman" w:hAnsi="Book Antiqua"/>
        </w:rPr>
        <w:t xml:space="preserve"> 24 (2011): 199–216.</w:t>
      </w:r>
    </w:p>
    <w:p w14:paraId="7408AAA6" w14:textId="77777777" w:rsidR="00EC4C7B" w:rsidRPr="00AF638D" w:rsidRDefault="00EC4C7B" w:rsidP="00AF638D">
      <w:pPr>
        <w:spacing w:after="0" w:line="276" w:lineRule="auto"/>
        <w:ind w:left="540" w:hanging="540"/>
        <w:jc w:val="both"/>
        <w:rPr>
          <w:rFonts w:ascii="Book Antiqua" w:eastAsia="Times New Roman" w:hAnsi="Book Antiqua"/>
        </w:rPr>
      </w:pPr>
      <w:r w:rsidRPr="00AF638D">
        <w:rPr>
          <w:rFonts w:ascii="Book Antiqua" w:eastAsia="Times New Roman" w:hAnsi="Book Antiqua"/>
        </w:rPr>
        <w:t xml:space="preserve">Ghana Health Service. </w:t>
      </w:r>
      <w:r w:rsidRPr="00AF638D">
        <w:rPr>
          <w:rFonts w:ascii="Book Antiqua" w:eastAsia="Times New Roman" w:hAnsi="Book Antiqua"/>
          <w:i/>
          <w:iCs/>
        </w:rPr>
        <w:t>National Study on the Health Sector Response to Child Abuse in Ghana</w:t>
      </w:r>
      <w:r w:rsidRPr="00AF638D">
        <w:rPr>
          <w:rFonts w:ascii="Book Antiqua" w:eastAsia="Times New Roman" w:hAnsi="Book Antiqua"/>
        </w:rPr>
        <w:t>. Accra: Ghana Health Service, with support from UNICEF, 2018.</w:t>
      </w:r>
    </w:p>
    <w:p w14:paraId="0B879E04" w14:textId="77777777" w:rsidR="00EC4C7B" w:rsidRPr="00AF638D" w:rsidRDefault="00EC4C7B" w:rsidP="00AF638D">
      <w:pPr>
        <w:spacing w:after="0" w:line="276" w:lineRule="auto"/>
        <w:ind w:left="540" w:hanging="540"/>
        <w:jc w:val="both"/>
        <w:rPr>
          <w:rFonts w:ascii="Book Antiqua" w:eastAsia="Times New Roman" w:hAnsi="Book Antiqua"/>
        </w:rPr>
      </w:pPr>
      <w:r w:rsidRPr="00AF638D">
        <w:rPr>
          <w:rFonts w:ascii="Book Antiqua" w:eastAsia="Times New Roman" w:hAnsi="Book Antiqua"/>
        </w:rPr>
        <w:t xml:space="preserve">Hendriks, H. Jurgens. </w:t>
      </w:r>
      <w:r w:rsidRPr="00AF638D">
        <w:rPr>
          <w:rFonts w:ascii="Book Antiqua" w:eastAsia="Times New Roman" w:hAnsi="Book Antiqua"/>
          <w:i/>
          <w:iCs/>
        </w:rPr>
        <w:t>Studying Congregations in Africa</w:t>
      </w:r>
      <w:r w:rsidRPr="00AF638D">
        <w:rPr>
          <w:rFonts w:ascii="Book Antiqua" w:eastAsia="Times New Roman" w:hAnsi="Book Antiqua"/>
        </w:rPr>
        <w:t>. Wellington: Lux Verbi, 2004.</w:t>
      </w:r>
    </w:p>
    <w:p w14:paraId="292883B2" w14:textId="77777777" w:rsidR="009D3A02" w:rsidRPr="00EC4C7B" w:rsidRDefault="00FE1E00">
      <w:pPr>
        <w:spacing w:after="0" w:line="276" w:lineRule="auto"/>
        <w:ind w:left="540" w:hanging="540"/>
        <w:jc w:val="both"/>
        <w:rPr>
          <w:rFonts w:eastAsia="Calibri"/>
          <w:b/>
          <w:bCs/>
          <w:lang w:val="af-ZA" w:eastAsia="af-ZA"/>
        </w:rPr>
      </w:pPr>
      <w:r w:rsidRPr="00810B37">
        <w:rPr>
          <w:rFonts w:ascii="Book Antiqua" w:hAnsi="Book Antiqua"/>
        </w:rPr>
        <w:t xml:space="preserve">Holland, Joe, and Peter J. Henriot. </w:t>
      </w:r>
      <w:r w:rsidRPr="00810B37">
        <w:rPr>
          <w:rFonts w:ascii="Book Antiqua" w:hAnsi="Book Antiqua"/>
          <w:i/>
        </w:rPr>
        <w:t>Social Analysis: Linking Faith and Justice</w:t>
      </w:r>
      <w:r w:rsidRPr="00810B37">
        <w:rPr>
          <w:rFonts w:ascii="Book Antiqua" w:hAnsi="Book Antiqua"/>
        </w:rPr>
        <w:t xml:space="preserve">. Rev. </w:t>
      </w:r>
      <w:r w:rsidR="00810B37">
        <w:rPr>
          <w:rFonts w:ascii="Book Antiqua" w:hAnsi="Book Antiqua"/>
        </w:rPr>
        <w:t xml:space="preserve">and enl. </w:t>
      </w:r>
      <w:r w:rsidRPr="00810B37">
        <w:rPr>
          <w:rFonts w:ascii="Book Antiqua" w:hAnsi="Book Antiqua"/>
        </w:rPr>
        <w:t xml:space="preserve">ed. Maryknoll, NY: Orbis Books, </w:t>
      </w:r>
      <w:r w:rsidR="00810B37">
        <w:rPr>
          <w:rFonts w:ascii="Book Antiqua" w:hAnsi="Book Antiqua"/>
        </w:rPr>
        <w:t>1983.</w:t>
      </w:r>
    </w:p>
    <w:p w14:paraId="76CD2D5F" w14:textId="113EB06E" w:rsidR="00EC4C7B" w:rsidRPr="00AF638D" w:rsidRDefault="00423971" w:rsidP="00AF638D">
      <w:pPr>
        <w:spacing w:after="0" w:line="276" w:lineRule="auto"/>
        <w:ind w:left="540" w:hanging="540"/>
        <w:jc w:val="both"/>
        <w:rPr>
          <w:rFonts w:ascii="Book Antiqua" w:eastAsia="Times New Roman" w:hAnsi="Book Antiqua"/>
        </w:rPr>
      </w:pPr>
      <w:r w:rsidRPr="00423971">
        <w:rPr>
          <w:rFonts w:ascii="Book Antiqua" w:eastAsia="Times New Roman" w:hAnsi="Book Antiqua"/>
        </w:rPr>
        <w:t>Kotze</w:t>
      </w:r>
      <w:r>
        <w:rPr>
          <w:rFonts w:ascii="Book Antiqua" w:eastAsia="Times New Roman" w:hAnsi="Book Antiqua"/>
        </w:rPr>
        <w:t>,</w:t>
      </w:r>
      <w:r w:rsidRPr="00423971">
        <w:rPr>
          <w:rFonts w:ascii="Book Antiqua" w:eastAsia="Times New Roman" w:hAnsi="Book Antiqua"/>
        </w:rPr>
        <w:t xml:space="preserve"> Manitza</w:t>
      </w:r>
      <w:r>
        <w:rPr>
          <w:rFonts w:ascii="Book Antiqua" w:eastAsia="Times New Roman" w:hAnsi="Book Antiqua"/>
        </w:rPr>
        <w:t>,</w:t>
      </w:r>
      <w:r w:rsidRPr="00423971">
        <w:rPr>
          <w:rFonts w:ascii="Book Antiqua" w:eastAsia="Times New Roman" w:hAnsi="Book Antiqua"/>
        </w:rPr>
        <w:t xml:space="preserve"> and Carike Noeth</w:t>
      </w:r>
      <w:r>
        <w:rPr>
          <w:rFonts w:ascii="Book Antiqua" w:eastAsia="Times New Roman" w:hAnsi="Book Antiqua"/>
        </w:rPr>
        <w:t>.</w:t>
      </w:r>
      <w:r w:rsidRPr="00423971">
        <w:rPr>
          <w:rFonts w:ascii="Book Antiqua" w:eastAsia="Times New Roman" w:hAnsi="Book Antiqua"/>
        </w:rPr>
        <w:t xml:space="preserve"> “Friendship as a Theological Model: Bonhoeffer, Moltmann and the Trinity</w:t>
      </w:r>
      <w:r>
        <w:rPr>
          <w:rFonts w:ascii="Book Antiqua" w:eastAsia="Times New Roman" w:hAnsi="Book Antiqua"/>
        </w:rPr>
        <w:t>.</w:t>
      </w:r>
      <w:r w:rsidRPr="00423971">
        <w:rPr>
          <w:rFonts w:ascii="Book Antiqua" w:eastAsia="Times New Roman" w:hAnsi="Book Antiqua"/>
        </w:rPr>
        <w:t xml:space="preserve">” </w:t>
      </w:r>
      <w:r w:rsidRPr="00423971">
        <w:rPr>
          <w:rFonts w:ascii="Book Antiqua" w:eastAsia="Times New Roman" w:hAnsi="Book Antiqua"/>
          <w:i/>
          <w:iCs/>
        </w:rPr>
        <w:t>In die Skriflig/In Luce Verbi</w:t>
      </w:r>
      <w:r w:rsidRPr="00423971">
        <w:rPr>
          <w:rFonts w:ascii="Book Antiqua" w:eastAsia="Times New Roman" w:hAnsi="Book Antiqua"/>
        </w:rPr>
        <w:t xml:space="preserve"> 53, no. 1 (2019): 1–7.</w:t>
      </w:r>
      <w:r w:rsidR="000C6ABD">
        <w:rPr>
          <w:rFonts w:ascii="Book Antiqua" w:eastAsia="Times New Roman" w:hAnsi="Book Antiqua"/>
        </w:rPr>
        <w:t xml:space="preserve"> </w:t>
      </w:r>
      <w:r w:rsidR="000C6ABD" w:rsidRPr="000C6ABD">
        <w:rPr>
          <w:rFonts w:ascii="Book Antiqua" w:eastAsia="Times New Roman" w:hAnsi="Book Antiqua"/>
        </w:rPr>
        <w:t>https://doi.org/10.4102/ids.v53i1.2333</w:t>
      </w:r>
      <w:r w:rsidR="000C6ABD">
        <w:rPr>
          <w:rFonts w:ascii="Book Antiqua" w:eastAsia="Times New Roman" w:hAnsi="Book Antiqua"/>
        </w:rPr>
        <w:t>.</w:t>
      </w:r>
    </w:p>
    <w:p w14:paraId="38529604" w14:textId="77777777" w:rsidR="00EC4C7B" w:rsidRPr="00AF638D" w:rsidRDefault="00EC4C7B" w:rsidP="00AF638D">
      <w:pPr>
        <w:spacing w:after="0" w:line="276" w:lineRule="auto"/>
        <w:ind w:left="540" w:hanging="540"/>
        <w:jc w:val="both"/>
        <w:rPr>
          <w:rFonts w:ascii="Book Antiqua" w:eastAsia="Times New Roman" w:hAnsi="Book Antiqua"/>
        </w:rPr>
      </w:pPr>
      <w:r w:rsidRPr="00AF638D">
        <w:rPr>
          <w:rFonts w:ascii="Book Antiqua" w:eastAsia="Times New Roman" w:hAnsi="Book Antiqua"/>
        </w:rPr>
        <w:t>Kpalam, Ebenezer. “A Pastoral Response to Child Sexual Abuse in Ghana: An Interdisciplinary Study Informed by a Relational View of the Trinity.” PhD diss., North-West University, South Africa, 2021.</w:t>
      </w:r>
    </w:p>
    <w:p w14:paraId="5351DEB6" w14:textId="1D70A8E9" w:rsidR="00EC4C7B" w:rsidRPr="00AF638D" w:rsidRDefault="00EC4C7B" w:rsidP="00AF638D">
      <w:pPr>
        <w:spacing w:after="0" w:line="276" w:lineRule="auto"/>
        <w:ind w:left="540" w:hanging="540"/>
        <w:jc w:val="both"/>
        <w:rPr>
          <w:rFonts w:ascii="Book Antiqua" w:eastAsia="Times New Roman" w:hAnsi="Book Antiqua"/>
        </w:rPr>
      </w:pPr>
      <w:r w:rsidRPr="00AF638D">
        <w:rPr>
          <w:rFonts w:ascii="Book Antiqua" w:eastAsia="Times New Roman" w:hAnsi="Book Antiqua"/>
          <w:lang w:val="af-ZA" w:eastAsia="af-ZA"/>
        </w:rPr>
        <w:t>Kpalam, Ebenezer Tetteh.</w:t>
      </w:r>
      <w:r w:rsidRPr="00A47283">
        <w:rPr>
          <w:rFonts w:ascii="Book Antiqua" w:eastAsia="Times New Roman" w:hAnsi="Book Antiqua"/>
          <w:i/>
          <w:iCs/>
          <w:lang w:val="af-ZA" w:eastAsia="af-ZA"/>
        </w:rPr>
        <w:t xml:space="preserve"> </w:t>
      </w:r>
      <w:r w:rsidR="00A47283" w:rsidRPr="00A47283">
        <w:rPr>
          <w:rFonts w:ascii="Book Antiqua" w:eastAsia="Times New Roman" w:hAnsi="Book Antiqua"/>
          <w:lang w:val="af-ZA" w:eastAsia="af-ZA"/>
        </w:rPr>
        <w:t>“</w:t>
      </w:r>
      <w:r w:rsidRPr="00A47283">
        <w:rPr>
          <w:rFonts w:ascii="Book Antiqua" w:eastAsia="Times New Roman" w:hAnsi="Book Antiqua"/>
          <w:lang w:val="af-ZA" w:eastAsia="af-ZA"/>
        </w:rPr>
        <w:t>Applying Integrated Theology to Child Protection in the Church of Pentecost in Winneba Municipality in Ghana.</w:t>
      </w:r>
      <w:r w:rsidR="00A47283" w:rsidRPr="00A47283">
        <w:rPr>
          <w:rFonts w:ascii="Book Antiqua" w:eastAsia="Times New Roman" w:hAnsi="Book Antiqua"/>
          <w:lang w:val="af-ZA" w:eastAsia="af-ZA"/>
        </w:rPr>
        <w:t>”</w:t>
      </w:r>
      <w:r w:rsidRPr="00AF638D">
        <w:rPr>
          <w:rFonts w:ascii="Book Antiqua" w:eastAsia="Times New Roman" w:hAnsi="Book Antiqua"/>
          <w:lang w:val="af-ZA" w:eastAsia="af-ZA"/>
        </w:rPr>
        <w:t xml:space="preserve"> Master</w:t>
      </w:r>
      <w:r w:rsidR="00A47283">
        <w:rPr>
          <w:rFonts w:ascii="Book Antiqua" w:eastAsia="Times New Roman" w:hAnsi="Book Antiqua"/>
          <w:lang w:val="af-ZA" w:eastAsia="af-ZA"/>
        </w:rPr>
        <w:t>’s Thesis</w:t>
      </w:r>
      <w:r w:rsidRPr="00AF638D">
        <w:rPr>
          <w:rFonts w:ascii="Book Antiqua" w:eastAsia="Times New Roman" w:hAnsi="Book Antiqua"/>
          <w:lang w:val="af-ZA" w:eastAsia="af-ZA"/>
        </w:rPr>
        <w:t>, South African Theological Seminary, 2019</w:t>
      </w:r>
      <w:r w:rsidR="00372276">
        <w:rPr>
          <w:rFonts w:ascii="Book Antiqua" w:eastAsia="Times New Roman" w:hAnsi="Book Antiqua"/>
          <w:lang w:val="af-ZA" w:eastAsia="af-ZA"/>
        </w:rPr>
        <w:t>.</w:t>
      </w:r>
    </w:p>
    <w:p w14:paraId="06D9BBFF" w14:textId="77777777" w:rsidR="00EC4C7B" w:rsidRPr="00AF638D" w:rsidRDefault="00EC4C7B" w:rsidP="00AF638D">
      <w:pPr>
        <w:spacing w:after="0" w:line="276" w:lineRule="auto"/>
        <w:ind w:left="540" w:hanging="540"/>
        <w:jc w:val="both"/>
        <w:rPr>
          <w:rFonts w:ascii="Book Antiqua" w:eastAsia="Times New Roman" w:hAnsi="Book Antiqua"/>
        </w:rPr>
      </w:pPr>
      <w:r w:rsidRPr="00AF638D">
        <w:rPr>
          <w:rFonts w:ascii="Book Antiqua" w:eastAsia="Times New Roman" w:hAnsi="Book Antiqua"/>
        </w:rPr>
        <w:t xml:space="preserve">Kpalam, Ebenezer Tetteh, and Eva Ahiataku. “An Ecclesial Analysis of Child Sexual Abuse in Ghana: Implications for Pastoral Response.” </w:t>
      </w:r>
      <w:r w:rsidRPr="00AF638D">
        <w:rPr>
          <w:rFonts w:ascii="Book Antiqua" w:eastAsia="Times New Roman" w:hAnsi="Book Antiqua"/>
          <w:i/>
          <w:iCs/>
        </w:rPr>
        <w:t>E-Journal of Religious and Theological Studies</w:t>
      </w:r>
      <w:r w:rsidRPr="00AF638D">
        <w:rPr>
          <w:rFonts w:ascii="Book Antiqua" w:eastAsia="Times New Roman" w:hAnsi="Book Antiqua"/>
        </w:rPr>
        <w:t xml:space="preserve"> 9, no. 7 (2023): 324–333.</w:t>
      </w:r>
    </w:p>
    <w:p w14:paraId="6A0DCAE0" w14:textId="77777777" w:rsidR="00EC4C7B" w:rsidRPr="00AF638D" w:rsidRDefault="00EC4C7B" w:rsidP="00AF638D">
      <w:pPr>
        <w:spacing w:after="0" w:line="276" w:lineRule="auto"/>
        <w:ind w:left="540" w:hanging="540"/>
        <w:jc w:val="both"/>
        <w:rPr>
          <w:rFonts w:ascii="Book Antiqua" w:eastAsia="Times New Roman" w:hAnsi="Book Antiqua"/>
        </w:rPr>
      </w:pPr>
      <w:r w:rsidRPr="00AF638D">
        <w:rPr>
          <w:rFonts w:ascii="Book Antiqua" w:eastAsia="Times New Roman" w:hAnsi="Book Antiqua"/>
        </w:rPr>
        <w:t xml:space="preserve">LaCugna, Catherine Mowry. </w:t>
      </w:r>
      <w:r w:rsidRPr="00AF638D">
        <w:rPr>
          <w:rFonts w:ascii="Book Antiqua" w:eastAsia="Times New Roman" w:hAnsi="Book Antiqua"/>
          <w:i/>
          <w:iCs/>
        </w:rPr>
        <w:t>God for Us: The Trinity and Christian Life</w:t>
      </w:r>
      <w:r w:rsidRPr="00AF638D">
        <w:rPr>
          <w:rFonts w:ascii="Book Antiqua" w:eastAsia="Times New Roman" w:hAnsi="Book Antiqua"/>
        </w:rPr>
        <w:t>. San Francisco: HarperSanFrancisco, 1991.</w:t>
      </w:r>
    </w:p>
    <w:p w14:paraId="2E2CD7C8" w14:textId="756C7BEB" w:rsidR="00EC4C7B" w:rsidRPr="00AF638D" w:rsidRDefault="00EC4C7B" w:rsidP="00AF638D">
      <w:pPr>
        <w:spacing w:after="0" w:line="276" w:lineRule="auto"/>
        <w:ind w:left="540" w:hanging="540"/>
        <w:jc w:val="both"/>
        <w:rPr>
          <w:rFonts w:ascii="Book Antiqua" w:eastAsia="Times New Roman" w:hAnsi="Book Antiqua"/>
        </w:rPr>
      </w:pPr>
      <w:r w:rsidRPr="00AF638D">
        <w:rPr>
          <w:rFonts w:ascii="Book Antiqua" w:eastAsia="Times New Roman" w:hAnsi="Book Antiqua"/>
          <w:lang w:val="af-ZA" w:eastAsia="af-ZA"/>
        </w:rPr>
        <w:lastRenderedPageBreak/>
        <w:t xml:space="preserve">Lalor, Kevin. “Child Sexual Abuse in Sub-Saharan Africa: A Literature Review.” </w:t>
      </w:r>
      <w:r w:rsidRPr="00AF638D">
        <w:rPr>
          <w:rFonts w:ascii="Book Antiqua" w:eastAsia="Times New Roman" w:hAnsi="Book Antiqua"/>
          <w:i/>
          <w:iCs/>
          <w:lang w:val="af-ZA" w:eastAsia="af-ZA"/>
        </w:rPr>
        <w:t>Child Abuse &amp; Neglect</w:t>
      </w:r>
      <w:r w:rsidRPr="00AF638D">
        <w:rPr>
          <w:rFonts w:ascii="Book Antiqua" w:eastAsia="Times New Roman" w:hAnsi="Book Antiqua"/>
          <w:lang w:val="af-ZA" w:eastAsia="af-ZA"/>
        </w:rPr>
        <w:t xml:space="preserve"> 28, no. 4 (2004): 439–460. </w:t>
      </w:r>
      <w:hyperlink r:id="rId9" w:history="1">
        <w:r w:rsidRPr="00AF638D">
          <w:rPr>
            <w:rFonts w:ascii="Book Antiqua" w:eastAsia="Times New Roman" w:hAnsi="Book Antiqua"/>
            <w:lang w:val="af-ZA" w:eastAsia="af-ZA"/>
          </w:rPr>
          <w:t>https://doi.org/10.1016/j.chiabu.2003.07.005</w:t>
        </w:r>
      </w:hyperlink>
      <w:r w:rsidRPr="00AF638D">
        <w:rPr>
          <w:rFonts w:ascii="Book Antiqua" w:eastAsia="Times New Roman" w:hAnsi="Book Antiqua"/>
          <w:lang w:val="af-ZA" w:eastAsia="af-ZA"/>
        </w:rPr>
        <w:t>.</w:t>
      </w:r>
    </w:p>
    <w:p w14:paraId="095ED66C" w14:textId="77777777" w:rsidR="00EC4C7B" w:rsidRPr="00AF638D" w:rsidRDefault="00EC4C7B" w:rsidP="00AF638D">
      <w:pPr>
        <w:spacing w:after="0" w:line="276" w:lineRule="auto"/>
        <w:ind w:left="540" w:hanging="540"/>
        <w:jc w:val="both"/>
        <w:rPr>
          <w:rFonts w:ascii="Book Antiqua" w:eastAsia="Times New Roman" w:hAnsi="Book Antiqua"/>
        </w:rPr>
      </w:pPr>
      <w:r w:rsidRPr="00AF638D">
        <w:rPr>
          <w:rFonts w:ascii="Book Antiqua" w:eastAsia="Times New Roman" w:hAnsi="Book Antiqua"/>
        </w:rPr>
        <w:t xml:space="preserve">Lartey, Emmanuel Y. </w:t>
      </w:r>
      <w:r w:rsidRPr="00AF638D">
        <w:rPr>
          <w:rFonts w:ascii="Book Antiqua" w:eastAsia="Times New Roman" w:hAnsi="Book Antiqua"/>
          <w:i/>
          <w:iCs/>
        </w:rPr>
        <w:t>Pastoral Theology in an Intercultural World</w:t>
      </w:r>
      <w:r w:rsidRPr="00AF638D">
        <w:rPr>
          <w:rFonts w:ascii="Book Antiqua" w:eastAsia="Times New Roman" w:hAnsi="Book Antiqua"/>
        </w:rPr>
        <w:t>. Peterborough: Epworth Press, 2006.</w:t>
      </w:r>
    </w:p>
    <w:p w14:paraId="16549AA5" w14:textId="77777777" w:rsidR="00EC4C7B" w:rsidRPr="00AF638D" w:rsidRDefault="00EC4C7B" w:rsidP="00AF638D">
      <w:pPr>
        <w:spacing w:after="0" w:line="276" w:lineRule="auto"/>
        <w:ind w:left="540" w:hanging="540"/>
        <w:jc w:val="both"/>
        <w:rPr>
          <w:rFonts w:ascii="Book Antiqua" w:eastAsia="Times New Roman" w:hAnsi="Book Antiqua"/>
        </w:rPr>
      </w:pPr>
      <w:r w:rsidRPr="00AF638D">
        <w:rPr>
          <w:rFonts w:ascii="Book Antiqua" w:eastAsia="Times New Roman" w:hAnsi="Book Antiqua"/>
        </w:rPr>
        <w:t xml:space="preserve">Lartey, Emmanuel Y. </w:t>
      </w:r>
      <w:r w:rsidRPr="00AF638D">
        <w:rPr>
          <w:rFonts w:ascii="Book Antiqua" w:eastAsia="Times New Roman" w:hAnsi="Book Antiqua"/>
          <w:i/>
          <w:iCs/>
        </w:rPr>
        <w:t>Postcolonializing God: New Perspectives on Pastoral and Practical Theology</w:t>
      </w:r>
      <w:r w:rsidRPr="00AF638D">
        <w:rPr>
          <w:rFonts w:ascii="Book Antiqua" w:eastAsia="Times New Roman" w:hAnsi="Book Antiqua"/>
        </w:rPr>
        <w:t>. London: SCM Press, 2013.</w:t>
      </w:r>
    </w:p>
    <w:p w14:paraId="1A99C39E" w14:textId="77777777" w:rsidR="009D3A02" w:rsidRPr="00EC4C7B" w:rsidRDefault="00FE1E00">
      <w:pPr>
        <w:spacing w:after="0" w:line="276" w:lineRule="auto"/>
        <w:ind w:left="540" w:hanging="540"/>
        <w:jc w:val="both"/>
        <w:rPr>
          <w:rFonts w:eastAsia="Calibri"/>
          <w:b/>
          <w:bCs/>
          <w:lang w:val="af-ZA" w:eastAsia="af-ZA"/>
        </w:rPr>
      </w:pPr>
      <w:r w:rsidRPr="00AF638D">
        <w:rPr>
          <w:rFonts w:ascii="Book Antiqua" w:hAnsi="Book Antiqua"/>
          <w:kern w:val="2"/>
          <w:lang w:val="af-ZA" w:eastAsia="af-ZA"/>
          <w14:ligatures w14:val="standardContextual"/>
        </w:rPr>
        <w:t>Macallan, Brian, and H. Jurgens Hendriks. “Practical Theology and Philosophy: Working from a Distinctly Trans/</w:t>
      </w:r>
      <w:r w:rsidR="001C7092">
        <w:rPr>
          <w:rFonts w:ascii="Book Antiqua" w:hAnsi="Book Antiqua"/>
          <w:lang w:val="af-ZA"/>
        </w:rPr>
        <w:t>Postdisciplinary</w:t>
      </w:r>
      <w:r w:rsidRPr="00AF638D">
        <w:rPr>
          <w:rFonts w:ascii="Book Antiqua" w:hAnsi="Book Antiqua"/>
          <w:kern w:val="2"/>
          <w:lang w:val="af-ZA" w:eastAsia="af-ZA"/>
          <w14:ligatures w14:val="standardContextual"/>
        </w:rPr>
        <w:t xml:space="preserve"> Approach.” </w:t>
      </w:r>
      <w:r w:rsidRPr="00A47283">
        <w:rPr>
          <w:rFonts w:ascii="Book Antiqua" w:hAnsi="Book Antiqua"/>
          <w:i/>
          <w:iCs/>
          <w:kern w:val="2"/>
          <w:lang w:val="af-ZA" w:eastAsia="af-ZA"/>
          <w14:ligatures w14:val="standardContextual"/>
        </w:rPr>
        <w:t>HTS Teologiese Studies/Theological Studies</w:t>
      </w:r>
      <w:r w:rsidRPr="00AF638D">
        <w:rPr>
          <w:rFonts w:ascii="Book Antiqua" w:hAnsi="Book Antiqua"/>
          <w:kern w:val="2"/>
          <w:lang w:val="af-ZA" w:eastAsia="af-ZA"/>
          <w14:ligatures w14:val="standardContextual"/>
        </w:rPr>
        <w:t xml:space="preserve"> 68, no. </w:t>
      </w:r>
      <w:r w:rsidR="001C7092">
        <w:rPr>
          <w:rFonts w:ascii="Book Antiqua" w:hAnsi="Book Antiqua"/>
          <w:lang w:val="af-ZA"/>
        </w:rPr>
        <w:t>1 (2012).</w:t>
      </w:r>
    </w:p>
    <w:p w14:paraId="6A6F98A0" w14:textId="599E6C86" w:rsidR="00EC4C7B" w:rsidRPr="00AF638D" w:rsidRDefault="00EC4C7B" w:rsidP="00AF638D">
      <w:pPr>
        <w:spacing w:after="0" w:line="276" w:lineRule="auto"/>
        <w:ind w:left="540" w:hanging="540"/>
        <w:jc w:val="both"/>
        <w:rPr>
          <w:rFonts w:ascii="Book Antiqua" w:eastAsia="Times New Roman" w:hAnsi="Book Antiqua"/>
        </w:rPr>
      </w:pPr>
      <w:r w:rsidRPr="00AF638D">
        <w:rPr>
          <w:rFonts w:ascii="Book Antiqua" w:hAnsi="Book Antiqua"/>
          <w:kern w:val="2"/>
          <w:lang w:val="af-ZA" w:eastAsia="af-ZA"/>
          <w14:ligatures w14:val="standardContextual"/>
        </w:rPr>
        <w:t xml:space="preserve">Mandela, Nelson. </w:t>
      </w:r>
      <w:r w:rsidRPr="00435869">
        <w:rPr>
          <w:rFonts w:ascii="Book Antiqua" w:hAnsi="Book Antiqua"/>
          <w:i/>
          <w:iCs/>
          <w:kern w:val="2"/>
          <w:lang w:val="af-ZA" w:eastAsia="af-ZA"/>
          <w14:ligatures w14:val="standardContextual"/>
        </w:rPr>
        <w:t>Long Walk to Freedom: The Autobiography of Nelson Mandela</w:t>
      </w:r>
      <w:r w:rsidRPr="00AF638D">
        <w:rPr>
          <w:rFonts w:ascii="Book Antiqua" w:hAnsi="Book Antiqua"/>
          <w:kern w:val="2"/>
          <w:lang w:val="af-ZA" w:eastAsia="af-ZA"/>
          <w14:ligatures w14:val="standardContextual"/>
        </w:rPr>
        <w:t>. Boston</w:t>
      </w:r>
      <w:r w:rsidR="00435869">
        <w:rPr>
          <w:rFonts w:ascii="Book Antiqua" w:hAnsi="Book Antiqua"/>
          <w:kern w:val="2"/>
          <w:lang w:val="af-ZA" w:eastAsia="af-ZA"/>
          <w14:ligatures w14:val="standardContextual"/>
        </w:rPr>
        <w:t>, MA</w:t>
      </w:r>
      <w:r w:rsidRPr="00AF638D">
        <w:rPr>
          <w:rFonts w:ascii="Book Antiqua" w:hAnsi="Book Antiqua"/>
          <w:kern w:val="2"/>
          <w:lang w:val="af-ZA" w:eastAsia="af-ZA"/>
          <w14:ligatures w14:val="standardContextual"/>
        </w:rPr>
        <w:t>: Little, Brown</w:t>
      </w:r>
      <w:r w:rsidR="00AC2713">
        <w:rPr>
          <w:rFonts w:ascii="Book Antiqua" w:hAnsi="Book Antiqua"/>
          <w:kern w:val="2"/>
          <w:lang w:val="af-ZA" w:eastAsia="af-ZA"/>
          <w14:ligatures w14:val="standardContextual"/>
        </w:rPr>
        <w:t xml:space="preserve"> and Company</w:t>
      </w:r>
      <w:r w:rsidR="001A5D40">
        <w:rPr>
          <w:rFonts w:ascii="Book Antiqua" w:hAnsi="Book Antiqua"/>
          <w:kern w:val="2"/>
          <w:lang w:val="af-ZA" w:eastAsia="af-ZA"/>
          <w14:ligatures w14:val="standardContextual"/>
        </w:rPr>
        <w:t xml:space="preserve">, </w:t>
      </w:r>
      <w:r w:rsidR="001A5D40" w:rsidRPr="00AF638D">
        <w:rPr>
          <w:rFonts w:ascii="Book Antiqua" w:hAnsi="Book Antiqua"/>
          <w:kern w:val="2"/>
          <w:lang w:val="af-ZA" w:eastAsia="af-ZA"/>
          <w14:ligatures w14:val="standardContextual"/>
        </w:rPr>
        <w:t>199</w:t>
      </w:r>
      <w:r w:rsidR="00117A13">
        <w:rPr>
          <w:rFonts w:ascii="Book Antiqua" w:hAnsi="Book Antiqua"/>
          <w:kern w:val="2"/>
          <w:lang w:val="af-ZA" w:eastAsia="af-ZA"/>
          <w14:ligatures w14:val="standardContextual"/>
        </w:rPr>
        <w:t>4</w:t>
      </w:r>
      <w:r w:rsidRPr="00AF638D">
        <w:rPr>
          <w:rFonts w:ascii="Book Antiqua" w:hAnsi="Book Antiqua"/>
          <w:kern w:val="2"/>
          <w:lang w:val="af-ZA" w:eastAsia="af-ZA"/>
          <w14:ligatures w14:val="standardContextual"/>
        </w:rPr>
        <w:t>.</w:t>
      </w:r>
    </w:p>
    <w:p w14:paraId="563F2EBB" w14:textId="77777777" w:rsidR="00EC4C7B" w:rsidRPr="00AF638D" w:rsidRDefault="00EC4C7B" w:rsidP="00AF638D">
      <w:pPr>
        <w:spacing w:after="0" w:line="276" w:lineRule="auto"/>
        <w:ind w:left="540" w:hanging="540"/>
        <w:jc w:val="both"/>
        <w:rPr>
          <w:rFonts w:ascii="Book Antiqua" w:eastAsia="Times New Roman" w:hAnsi="Book Antiqua"/>
        </w:rPr>
      </w:pPr>
      <w:r w:rsidRPr="00AF638D">
        <w:rPr>
          <w:rFonts w:ascii="Book Antiqua" w:eastAsia="Times New Roman" w:hAnsi="Book Antiqua"/>
        </w:rPr>
        <w:t xml:space="preserve">Mbigi, Lovemore, and Jenny Maree. </w:t>
      </w:r>
      <w:r w:rsidRPr="00AF638D">
        <w:rPr>
          <w:rFonts w:ascii="Book Antiqua" w:eastAsia="Times New Roman" w:hAnsi="Book Antiqua"/>
          <w:i/>
          <w:iCs/>
        </w:rPr>
        <w:t>Ubuntu: The Spirit of African Transformation Management</w:t>
      </w:r>
      <w:r w:rsidRPr="00AF638D">
        <w:rPr>
          <w:rFonts w:ascii="Book Antiqua" w:eastAsia="Times New Roman" w:hAnsi="Book Antiqua"/>
        </w:rPr>
        <w:t>. Randburg, South Africa: Knowledge Resources, 1995.</w:t>
      </w:r>
    </w:p>
    <w:p w14:paraId="50F09865" w14:textId="77777777" w:rsidR="00EC4C7B" w:rsidRPr="00AF638D" w:rsidRDefault="00EC4C7B" w:rsidP="00AF638D">
      <w:pPr>
        <w:spacing w:after="0" w:line="276" w:lineRule="auto"/>
        <w:ind w:left="540" w:hanging="540"/>
        <w:jc w:val="both"/>
        <w:rPr>
          <w:rFonts w:ascii="Book Antiqua" w:eastAsia="Times New Roman" w:hAnsi="Book Antiqua"/>
        </w:rPr>
      </w:pPr>
      <w:r w:rsidRPr="00AF638D">
        <w:rPr>
          <w:rFonts w:ascii="Book Antiqua" w:eastAsia="Times New Roman" w:hAnsi="Book Antiqua"/>
        </w:rPr>
        <w:t xml:space="preserve">Mbiti, John S. </w:t>
      </w:r>
      <w:r w:rsidRPr="00AF638D">
        <w:rPr>
          <w:rFonts w:ascii="Book Antiqua" w:eastAsia="Times New Roman" w:hAnsi="Book Antiqua"/>
          <w:i/>
          <w:iCs/>
        </w:rPr>
        <w:t>African Religions and Philosophy</w:t>
      </w:r>
      <w:r w:rsidRPr="00AF638D">
        <w:rPr>
          <w:rFonts w:ascii="Book Antiqua" w:eastAsia="Times New Roman" w:hAnsi="Book Antiqua"/>
        </w:rPr>
        <w:t>. 2nd ed. Oxford: Heinemann, 1990.</w:t>
      </w:r>
    </w:p>
    <w:p w14:paraId="39133A13" w14:textId="77777777" w:rsidR="00EC4C7B" w:rsidRPr="00AF638D" w:rsidRDefault="00EC4C7B" w:rsidP="00AF638D">
      <w:pPr>
        <w:spacing w:after="0" w:line="276" w:lineRule="auto"/>
        <w:ind w:left="540" w:hanging="540"/>
        <w:jc w:val="both"/>
        <w:rPr>
          <w:rFonts w:ascii="Book Antiqua" w:eastAsia="Times New Roman" w:hAnsi="Book Antiqua"/>
        </w:rPr>
      </w:pPr>
      <w:r w:rsidRPr="00AF638D">
        <w:rPr>
          <w:rFonts w:ascii="Book Antiqua" w:eastAsia="Times New Roman" w:hAnsi="Book Antiqua"/>
        </w:rPr>
        <w:t xml:space="preserve">Medley, Mark S. </w:t>
      </w:r>
      <w:r w:rsidRPr="00AF638D">
        <w:rPr>
          <w:rFonts w:ascii="Book Antiqua" w:eastAsia="Times New Roman" w:hAnsi="Book Antiqua"/>
          <w:i/>
          <w:iCs/>
        </w:rPr>
        <w:t>Imago Trinitatis: Toward a Relational Understanding of Becoming Human</w:t>
      </w:r>
      <w:r w:rsidRPr="00AF638D">
        <w:rPr>
          <w:rFonts w:ascii="Book Antiqua" w:eastAsia="Times New Roman" w:hAnsi="Book Antiqua"/>
        </w:rPr>
        <w:t>. Lanham, MD: University Press of America, 2002.</w:t>
      </w:r>
    </w:p>
    <w:p w14:paraId="31A7CD82" w14:textId="77777777" w:rsidR="00EC4C7B" w:rsidRPr="00AF638D" w:rsidRDefault="00EC4C7B" w:rsidP="00AF638D">
      <w:pPr>
        <w:spacing w:after="0" w:line="276" w:lineRule="auto"/>
        <w:ind w:left="540" w:hanging="540"/>
        <w:jc w:val="both"/>
        <w:rPr>
          <w:rFonts w:ascii="Book Antiqua" w:eastAsia="Times New Roman" w:hAnsi="Book Antiqua"/>
        </w:rPr>
      </w:pPr>
      <w:r w:rsidRPr="00AF638D">
        <w:rPr>
          <w:rFonts w:ascii="Book Antiqua" w:eastAsia="Times New Roman" w:hAnsi="Book Antiqua"/>
        </w:rPr>
        <w:t xml:space="preserve">Miller-McLemore, Bonnie J. “Practical Theology and Pedagogy: Embodying Theological Know-How.” In </w:t>
      </w:r>
      <w:r w:rsidRPr="00AF638D">
        <w:rPr>
          <w:rFonts w:ascii="Book Antiqua" w:eastAsia="Times New Roman" w:hAnsi="Book Antiqua"/>
          <w:i/>
          <w:iCs/>
        </w:rPr>
        <w:t>For Life Abundant: Practical Theology, Theological Education, and Christian Ministry</w:t>
      </w:r>
      <w:r w:rsidRPr="00AF638D">
        <w:rPr>
          <w:rFonts w:ascii="Book Antiqua" w:eastAsia="Times New Roman" w:hAnsi="Book Antiqua"/>
        </w:rPr>
        <w:t>, edited by Dorothy C. Bass and Craig Dykstra. Grand Rapids, MI: Eerdmans, 2012.</w:t>
      </w:r>
    </w:p>
    <w:p w14:paraId="0D83CF91" w14:textId="77777777" w:rsidR="00EC4C7B" w:rsidRPr="00AF638D" w:rsidRDefault="00EC4C7B" w:rsidP="00AF638D">
      <w:pPr>
        <w:spacing w:after="0" w:line="276" w:lineRule="auto"/>
        <w:ind w:left="540" w:hanging="540"/>
        <w:jc w:val="both"/>
        <w:rPr>
          <w:rFonts w:ascii="Book Antiqua" w:eastAsia="Times New Roman" w:hAnsi="Book Antiqua"/>
        </w:rPr>
      </w:pPr>
      <w:r w:rsidRPr="00AF638D">
        <w:rPr>
          <w:rFonts w:ascii="Book Antiqua" w:eastAsia="Times New Roman" w:hAnsi="Book Antiqua"/>
        </w:rPr>
        <w:t xml:space="preserve">Moltmann, Jürgen. </w:t>
      </w:r>
      <w:r w:rsidRPr="00AF638D">
        <w:rPr>
          <w:rFonts w:ascii="Book Antiqua" w:eastAsia="Times New Roman" w:hAnsi="Book Antiqua"/>
          <w:i/>
          <w:iCs/>
        </w:rPr>
        <w:t>God in Creation: A New Theology of Creation and the Spirit of God</w:t>
      </w:r>
      <w:r w:rsidRPr="00AF638D">
        <w:rPr>
          <w:rFonts w:ascii="Book Antiqua" w:eastAsia="Times New Roman" w:hAnsi="Book Antiqua"/>
        </w:rPr>
        <w:t>. Translated by Margaret Kohl. London: SCM Press, 1985.</w:t>
      </w:r>
    </w:p>
    <w:p w14:paraId="14BEB144" w14:textId="77777777" w:rsidR="00EC4C7B" w:rsidRPr="00AF638D" w:rsidRDefault="00EC4C7B" w:rsidP="00AF638D">
      <w:pPr>
        <w:spacing w:after="0" w:line="276" w:lineRule="auto"/>
        <w:ind w:left="540" w:hanging="540"/>
        <w:jc w:val="both"/>
        <w:rPr>
          <w:rFonts w:ascii="Book Antiqua" w:eastAsia="Times New Roman" w:hAnsi="Book Antiqua"/>
        </w:rPr>
      </w:pPr>
      <w:r w:rsidRPr="00AF638D">
        <w:rPr>
          <w:rFonts w:ascii="Book Antiqua" w:eastAsia="Times New Roman" w:hAnsi="Book Antiqua"/>
        </w:rPr>
        <w:t xml:space="preserve">Moltmann, Jürgen. </w:t>
      </w:r>
      <w:r w:rsidRPr="00AF638D">
        <w:rPr>
          <w:rFonts w:ascii="Book Antiqua" w:eastAsia="Times New Roman" w:hAnsi="Book Antiqua"/>
          <w:i/>
          <w:iCs/>
        </w:rPr>
        <w:t>History and the Triune God: Contributions to Trinitarian Theology</w:t>
      </w:r>
      <w:r w:rsidRPr="00AF638D">
        <w:rPr>
          <w:rFonts w:ascii="Book Antiqua" w:eastAsia="Times New Roman" w:hAnsi="Book Antiqua"/>
        </w:rPr>
        <w:t>. Translated by John Bowden. London: SCM Press, 1991.</w:t>
      </w:r>
    </w:p>
    <w:p w14:paraId="70776B85" w14:textId="77777777" w:rsidR="009D3A02" w:rsidRPr="00EC4C7B" w:rsidRDefault="00FE1E00">
      <w:pPr>
        <w:spacing w:after="0" w:line="276" w:lineRule="auto"/>
        <w:ind w:left="540" w:hanging="540"/>
        <w:jc w:val="both"/>
        <w:rPr>
          <w:rFonts w:eastAsia="Calibri"/>
          <w:b/>
          <w:bCs/>
          <w:lang w:val="af-ZA" w:eastAsia="af-ZA"/>
        </w:rPr>
      </w:pPr>
      <w:r w:rsidRPr="00AF638D">
        <w:rPr>
          <w:rFonts w:ascii="Book Antiqua" w:hAnsi="Book Antiqua"/>
          <w:kern w:val="2"/>
          <w:lang w:val="af-ZA" w:eastAsia="af-ZA"/>
          <w14:ligatures w14:val="standardContextual"/>
        </w:rPr>
        <w:t>Mtata, Kenneth. “Child Theology and the African Context.” In Building from the Rubbles: Theological Reflections on the Global Financial Crisis and Other Essays</w:t>
      </w:r>
      <w:r w:rsidR="00D854A0">
        <w:rPr>
          <w:rFonts w:ascii="Book Antiqua" w:hAnsi="Book Antiqua"/>
          <w:lang w:val="af-ZA"/>
        </w:rPr>
        <w:t xml:space="preserve">. </w:t>
      </w:r>
      <w:r w:rsidRPr="00AF638D">
        <w:rPr>
          <w:rFonts w:ascii="Book Antiqua" w:hAnsi="Book Antiqua"/>
          <w:kern w:val="2"/>
          <w:lang w:val="af-ZA" w:eastAsia="af-ZA"/>
          <w14:ligatures w14:val="standardContextual"/>
        </w:rPr>
        <w:t>Geneva: World Council of Churches</w:t>
      </w:r>
      <w:r w:rsidR="00D854A0">
        <w:rPr>
          <w:rFonts w:ascii="Book Antiqua" w:hAnsi="Book Antiqua"/>
          <w:lang w:val="af-ZA"/>
        </w:rPr>
        <w:t>,</w:t>
      </w:r>
      <w:r w:rsidRPr="00AF638D">
        <w:rPr>
          <w:rFonts w:ascii="Book Antiqua" w:hAnsi="Book Antiqua"/>
          <w:kern w:val="2"/>
          <w:lang w:val="af-ZA" w:eastAsia="af-ZA"/>
          <w14:ligatures w14:val="standardContextual"/>
        </w:rPr>
        <w:t xml:space="preserve"> 2009.</w:t>
      </w:r>
    </w:p>
    <w:p w14:paraId="180934F6" w14:textId="413BB5E3" w:rsidR="00EC4C7B" w:rsidRPr="00AF638D" w:rsidRDefault="00EC4C7B" w:rsidP="00AF638D">
      <w:pPr>
        <w:spacing w:after="0" w:line="276" w:lineRule="auto"/>
        <w:ind w:left="540" w:hanging="540"/>
        <w:jc w:val="both"/>
        <w:rPr>
          <w:rFonts w:ascii="Book Antiqua" w:eastAsia="Times New Roman" w:hAnsi="Book Antiqua"/>
        </w:rPr>
      </w:pPr>
      <w:r w:rsidRPr="00AF638D">
        <w:rPr>
          <w:rFonts w:ascii="Book Antiqua" w:eastAsia="Times New Roman" w:hAnsi="Book Antiqua"/>
          <w:lang w:val="af-ZA" w:eastAsia="af-ZA"/>
        </w:rPr>
        <w:t xml:space="preserve">Owusu-Addo, Ebenezer, Sally B. Owusu-Addo, Deborah M. Bennor, Nathaniel Mensah-Odum, Antoine Deliege, A. Bansal, Miho Yoshikawa, and Joyce Odame. “Prevalence and Determinants of Sexual Abuse among Adolescent Girls during the COVID-19 Lockdown and School Closures in Ghana: A Mixed Method Study.” </w:t>
      </w:r>
      <w:r w:rsidRPr="00AF638D">
        <w:rPr>
          <w:rFonts w:ascii="Book Antiqua" w:eastAsia="Times New Roman" w:hAnsi="Book Antiqua"/>
          <w:i/>
          <w:iCs/>
          <w:lang w:val="af-ZA" w:eastAsia="af-ZA"/>
        </w:rPr>
        <w:t>Child Abuse &amp; Neglect</w:t>
      </w:r>
      <w:r w:rsidRPr="00AF638D">
        <w:rPr>
          <w:rFonts w:ascii="Book Antiqua" w:eastAsia="Times New Roman" w:hAnsi="Book Antiqua"/>
          <w:lang w:val="af-ZA" w:eastAsia="af-ZA"/>
        </w:rPr>
        <w:t xml:space="preserve"> 135 (2023): 105997. </w:t>
      </w:r>
      <w:hyperlink r:id="rId10" w:history="1">
        <w:r w:rsidRPr="00AF638D">
          <w:rPr>
            <w:rFonts w:ascii="Book Antiqua" w:eastAsia="Times New Roman" w:hAnsi="Book Antiqua"/>
            <w:lang w:val="af-ZA" w:eastAsia="af-ZA"/>
          </w:rPr>
          <w:t>https://doi.org/10.1016/j.chiabu.2022.105997</w:t>
        </w:r>
      </w:hyperlink>
      <w:r w:rsidRPr="00AF638D">
        <w:rPr>
          <w:rFonts w:ascii="Book Antiqua" w:eastAsia="Times New Roman" w:hAnsi="Book Antiqua"/>
          <w:lang w:val="af-ZA" w:eastAsia="af-ZA"/>
        </w:rPr>
        <w:t xml:space="preserve">. </w:t>
      </w:r>
    </w:p>
    <w:p w14:paraId="344170F3" w14:textId="77777777" w:rsidR="00EC4C7B" w:rsidRPr="00AF638D" w:rsidRDefault="00EC4C7B" w:rsidP="00AF638D">
      <w:pPr>
        <w:spacing w:after="0" w:line="276" w:lineRule="auto"/>
        <w:ind w:left="540" w:hanging="540"/>
        <w:jc w:val="both"/>
        <w:rPr>
          <w:rFonts w:ascii="Book Antiqua" w:eastAsia="Times New Roman" w:hAnsi="Book Antiqua"/>
        </w:rPr>
      </w:pPr>
      <w:r w:rsidRPr="00AF638D">
        <w:rPr>
          <w:rFonts w:ascii="Book Antiqua" w:eastAsia="Times New Roman" w:hAnsi="Book Antiqua"/>
        </w:rPr>
        <w:t xml:space="preserve">Pembroke, Neil. </w:t>
      </w:r>
      <w:r w:rsidRPr="00AF638D">
        <w:rPr>
          <w:rFonts w:ascii="Book Antiqua" w:eastAsia="Times New Roman" w:hAnsi="Book Antiqua"/>
          <w:i/>
          <w:iCs/>
        </w:rPr>
        <w:t>The Art of Listening: Dialogue, Shame, and Pastoral Care</w:t>
      </w:r>
      <w:r w:rsidRPr="00AF638D">
        <w:rPr>
          <w:rFonts w:ascii="Book Antiqua" w:eastAsia="Times New Roman" w:hAnsi="Book Antiqua"/>
        </w:rPr>
        <w:t>. Grand Rapids, MI: Eerdmans, 2006.</w:t>
      </w:r>
    </w:p>
    <w:p w14:paraId="4D96DADD" w14:textId="384C1C42" w:rsidR="00EC4C7B" w:rsidRPr="00AF638D" w:rsidRDefault="00EC4C7B" w:rsidP="00AF638D">
      <w:pPr>
        <w:spacing w:after="0" w:line="276" w:lineRule="auto"/>
        <w:ind w:left="540" w:hanging="540"/>
        <w:jc w:val="both"/>
        <w:rPr>
          <w:rFonts w:ascii="Book Antiqua" w:eastAsia="Times New Roman" w:hAnsi="Book Antiqua"/>
        </w:rPr>
      </w:pPr>
      <w:r w:rsidRPr="00AF638D">
        <w:rPr>
          <w:rFonts w:ascii="Book Antiqua" w:eastAsia="Times New Roman" w:hAnsi="Book Antiqua"/>
          <w:lang w:val="af-ZA" w:eastAsia="af-ZA"/>
        </w:rPr>
        <w:lastRenderedPageBreak/>
        <w:t xml:space="preserve">Quarshie, Emmanuel Nii-Boye, Priscilla Ayebea Davies, Jeremiah Wezenamo Acharibasam, Christiana Owiredua, Prince Atorkey, Daniel Annang Quarshie, and Sandra Naa-Shasha Quarshie. “Clergy-Perpetrated Sexual Abuse in Ghana: A Media Content Analysis of Survivors, Offenders, and Offence Characteristics.” </w:t>
      </w:r>
      <w:r w:rsidRPr="00AF638D">
        <w:rPr>
          <w:rFonts w:ascii="Book Antiqua" w:eastAsia="Times New Roman" w:hAnsi="Book Antiqua"/>
          <w:i/>
          <w:iCs/>
          <w:lang w:val="af-ZA" w:eastAsia="af-ZA"/>
        </w:rPr>
        <w:t>Journal of Religion and Health</w:t>
      </w:r>
      <w:r w:rsidRPr="00AF638D">
        <w:rPr>
          <w:rFonts w:ascii="Book Antiqua" w:eastAsia="Times New Roman" w:hAnsi="Book Antiqua"/>
          <w:lang w:val="af-ZA" w:eastAsia="af-ZA"/>
        </w:rPr>
        <w:t xml:space="preserve"> 61, no. 4 (2022): 3028–3054. </w:t>
      </w:r>
      <w:hyperlink r:id="rId11" w:history="1">
        <w:r w:rsidRPr="00AF638D">
          <w:rPr>
            <w:rFonts w:ascii="Book Antiqua" w:eastAsia="Times New Roman" w:hAnsi="Book Antiqua"/>
            <w:lang w:val="af-ZA" w:eastAsia="af-ZA"/>
          </w:rPr>
          <w:t>https://doi.org/10.1007/s10943-021-01430-3</w:t>
        </w:r>
      </w:hyperlink>
      <w:r w:rsidRPr="00AF638D">
        <w:rPr>
          <w:rFonts w:ascii="Book Antiqua" w:eastAsia="Times New Roman" w:hAnsi="Book Antiqua"/>
          <w:lang w:val="af-ZA" w:eastAsia="af-ZA"/>
        </w:rPr>
        <w:t xml:space="preserve">. </w:t>
      </w:r>
    </w:p>
    <w:p w14:paraId="2F574028" w14:textId="77777777" w:rsidR="00EC4C7B" w:rsidRPr="00AF638D" w:rsidRDefault="00EC4C7B" w:rsidP="00AF638D">
      <w:pPr>
        <w:spacing w:after="0" w:line="276" w:lineRule="auto"/>
        <w:ind w:left="540" w:hanging="540"/>
        <w:jc w:val="both"/>
        <w:rPr>
          <w:rFonts w:ascii="Book Antiqua" w:eastAsia="Times New Roman" w:hAnsi="Book Antiqua"/>
        </w:rPr>
      </w:pPr>
      <w:r w:rsidRPr="00AF638D">
        <w:rPr>
          <w:rFonts w:ascii="Book Antiqua" w:eastAsia="Times New Roman" w:hAnsi="Book Antiqua"/>
        </w:rPr>
        <w:t xml:space="preserve">Reynaert, Didier. “Power and Children’s Rights: An Analysis.” In </w:t>
      </w:r>
      <w:r w:rsidRPr="00AF638D">
        <w:rPr>
          <w:rFonts w:ascii="Book Antiqua" w:eastAsia="Times New Roman" w:hAnsi="Book Antiqua"/>
          <w:i/>
          <w:iCs/>
        </w:rPr>
        <w:t>Routledge International Handbook of Children’s Rights Studies</w:t>
      </w:r>
      <w:r w:rsidRPr="00AF638D">
        <w:rPr>
          <w:rFonts w:ascii="Book Antiqua" w:eastAsia="Times New Roman" w:hAnsi="Book Antiqua"/>
        </w:rPr>
        <w:t>, edited by Wouter Vandenhole, Ellen Desmet, Didier Reynaert, and Sara Lembrechts. Abingdon: Routledge, 2015.</w:t>
      </w:r>
    </w:p>
    <w:p w14:paraId="4144F946" w14:textId="77777777" w:rsidR="00EC4C7B" w:rsidRPr="00AF638D" w:rsidRDefault="00EC4C7B" w:rsidP="00AF638D">
      <w:pPr>
        <w:spacing w:after="0" w:line="276" w:lineRule="auto"/>
        <w:ind w:left="540" w:hanging="540"/>
        <w:jc w:val="both"/>
        <w:rPr>
          <w:rFonts w:ascii="Book Antiqua" w:eastAsia="Times New Roman" w:hAnsi="Book Antiqua"/>
        </w:rPr>
      </w:pPr>
      <w:r w:rsidRPr="00AF638D">
        <w:rPr>
          <w:rFonts w:ascii="Book Antiqua" w:hAnsi="Book Antiqua"/>
          <w:kern w:val="2"/>
          <w:lang w:val="af-ZA" w:eastAsia="af-ZA"/>
          <w14:ligatures w14:val="standardContextual"/>
        </w:rPr>
        <w:t>Rudolfsson, Lisa. “Abused, Ashamed, and Alone: Experiences of Shame Among Victims of Sexual Abuse.” PhD diss., Örebro University, 2015.</w:t>
      </w:r>
    </w:p>
    <w:p w14:paraId="0E1BDBDB" w14:textId="77777777" w:rsidR="00EC4C7B" w:rsidRPr="00AF638D" w:rsidRDefault="00EC4C7B" w:rsidP="00AF638D">
      <w:pPr>
        <w:spacing w:after="0" w:line="276" w:lineRule="auto"/>
        <w:ind w:left="540" w:hanging="540"/>
        <w:jc w:val="both"/>
        <w:rPr>
          <w:rFonts w:ascii="Book Antiqua" w:eastAsia="Times New Roman" w:hAnsi="Book Antiqua"/>
        </w:rPr>
      </w:pPr>
      <w:r w:rsidRPr="00AF638D">
        <w:rPr>
          <w:rFonts w:ascii="Book Antiqua" w:hAnsi="Book Antiqua"/>
          <w:kern w:val="2"/>
          <w:lang w:val="af-ZA" w:eastAsia="af-ZA"/>
          <w14:ligatures w14:val="standardContextual"/>
        </w:rPr>
        <w:t xml:space="preserve">Rudolfsson, Lisa, and Inga Tidefors. “Shame and Sexual Abuse: A Pastoral Care Perspective.” </w:t>
      </w:r>
      <w:r w:rsidRPr="00A97BE6">
        <w:rPr>
          <w:rFonts w:ascii="Book Antiqua" w:hAnsi="Book Antiqua"/>
          <w:i/>
          <w:iCs/>
          <w:kern w:val="2"/>
          <w:lang w:val="af-ZA" w:eastAsia="af-ZA"/>
          <w14:ligatures w14:val="standardContextual"/>
        </w:rPr>
        <w:t>Journal of Pastoral Care &amp; Counseling</w:t>
      </w:r>
      <w:r w:rsidRPr="00AF638D">
        <w:rPr>
          <w:rFonts w:ascii="Book Antiqua" w:hAnsi="Book Antiqua"/>
          <w:kern w:val="2"/>
          <w:lang w:val="af-ZA" w:eastAsia="af-ZA"/>
          <w14:ligatures w14:val="standardContextual"/>
        </w:rPr>
        <w:t xml:space="preserve"> 67, no. 4, 2013.</w:t>
      </w:r>
    </w:p>
    <w:p w14:paraId="5DCE29D6" w14:textId="68CBFF61" w:rsidR="00EC4C7B" w:rsidRPr="00AF638D" w:rsidRDefault="00EC4C7B" w:rsidP="00AF638D">
      <w:pPr>
        <w:spacing w:after="0" w:line="276" w:lineRule="auto"/>
        <w:ind w:left="540" w:hanging="540"/>
        <w:jc w:val="both"/>
        <w:rPr>
          <w:rFonts w:ascii="Book Antiqua" w:eastAsia="Times New Roman" w:hAnsi="Book Antiqua"/>
        </w:rPr>
      </w:pPr>
      <w:r w:rsidRPr="00AF638D">
        <w:rPr>
          <w:rFonts w:ascii="Book Antiqua" w:eastAsia="Times New Roman" w:hAnsi="Book Antiqua"/>
        </w:rPr>
        <w:t>Sakupapa, Teddy C. “</w:t>
      </w:r>
      <w:r w:rsidR="00C90383" w:rsidRPr="00C90383">
        <w:rPr>
          <w:rFonts w:ascii="Book Antiqua" w:eastAsia="Times New Roman" w:hAnsi="Book Antiqua"/>
        </w:rPr>
        <w:t xml:space="preserve">The Trinity in African Christian theology: An overview of contemporary approaches," </w:t>
      </w:r>
      <w:r w:rsidR="00C90383" w:rsidRPr="00C90383">
        <w:rPr>
          <w:rFonts w:ascii="Book Antiqua" w:eastAsia="Times New Roman" w:hAnsi="Book Antiqua"/>
          <w:i/>
          <w:iCs/>
        </w:rPr>
        <w:t>HTS Teologiese Studies/Theological Studies</w:t>
      </w:r>
      <w:r w:rsidR="00C90383" w:rsidRPr="00C90383">
        <w:rPr>
          <w:rFonts w:ascii="Book Antiqua" w:eastAsia="Times New Roman" w:hAnsi="Book Antiqua"/>
        </w:rPr>
        <w:t xml:space="preserve"> 75</w:t>
      </w:r>
      <w:r w:rsidR="00C90383">
        <w:rPr>
          <w:rFonts w:ascii="Book Antiqua" w:eastAsia="Times New Roman" w:hAnsi="Book Antiqua"/>
        </w:rPr>
        <w:t xml:space="preserve">, no. </w:t>
      </w:r>
      <w:r w:rsidR="00C90383" w:rsidRPr="00C90383">
        <w:rPr>
          <w:rFonts w:ascii="Book Antiqua" w:eastAsia="Times New Roman" w:hAnsi="Book Antiqua"/>
        </w:rPr>
        <w:t>1</w:t>
      </w:r>
      <w:r w:rsidR="00C90383">
        <w:rPr>
          <w:rFonts w:ascii="Book Antiqua" w:eastAsia="Times New Roman" w:hAnsi="Book Antiqua"/>
        </w:rPr>
        <w:t xml:space="preserve"> (2019):</w:t>
      </w:r>
      <w:r w:rsidR="00C90383" w:rsidRPr="00C90383">
        <w:rPr>
          <w:rFonts w:ascii="Book Antiqua" w:eastAsia="Times New Roman" w:hAnsi="Book Antiqua"/>
        </w:rPr>
        <w:t xml:space="preserve"> a5460. https://doi.org/10.4102/hts.v75i1.5460</w:t>
      </w:r>
      <w:r w:rsidRPr="00AF638D">
        <w:rPr>
          <w:rFonts w:ascii="Book Antiqua" w:eastAsia="Times New Roman" w:hAnsi="Book Antiqua"/>
        </w:rPr>
        <w:t>.</w:t>
      </w:r>
    </w:p>
    <w:p w14:paraId="4927E94F" w14:textId="77777777" w:rsidR="00EC4C7B" w:rsidRPr="00AF638D" w:rsidRDefault="00EC4C7B" w:rsidP="00AF638D">
      <w:pPr>
        <w:spacing w:after="0" w:line="276" w:lineRule="auto"/>
        <w:ind w:left="540" w:hanging="540"/>
        <w:jc w:val="both"/>
        <w:rPr>
          <w:rFonts w:ascii="Book Antiqua" w:eastAsia="Times New Roman" w:hAnsi="Book Antiqua"/>
        </w:rPr>
      </w:pPr>
      <w:r w:rsidRPr="00AF638D">
        <w:rPr>
          <w:rFonts w:ascii="Book Antiqua" w:eastAsia="Times New Roman" w:hAnsi="Book Antiqua"/>
          <w:lang w:val="af-ZA" w:eastAsia="af-ZA"/>
        </w:rPr>
        <w:t xml:space="preserve">Smit, Dirk J. “Trinity, History—and Discernment?” </w:t>
      </w:r>
      <w:r w:rsidRPr="00AF638D">
        <w:rPr>
          <w:rFonts w:ascii="Book Antiqua" w:eastAsia="Times New Roman" w:hAnsi="Book Antiqua"/>
          <w:i/>
          <w:iCs/>
          <w:lang w:val="af-ZA" w:eastAsia="af-ZA"/>
        </w:rPr>
        <w:t>Nederduitse Gereformeerde Teologiese Tydskrif</w:t>
      </w:r>
      <w:r w:rsidRPr="00AF638D">
        <w:rPr>
          <w:rFonts w:ascii="Book Antiqua" w:eastAsia="Times New Roman" w:hAnsi="Book Antiqua"/>
          <w:lang w:val="af-ZA" w:eastAsia="af-ZA"/>
        </w:rPr>
        <w:t xml:space="preserve"> 53, nos. 3–4 (2012): 337–352. </w:t>
      </w:r>
      <w:hyperlink r:id="rId12" w:history="1">
        <w:r w:rsidRPr="00AF638D">
          <w:rPr>
            <w:rFonts w:ascii="Book Antiqua" w:eastAsia="Times New Roman" w:hAnsi="Book Antiqua"/>
            <w:lang w:val="af-ZA" w:eastAsia="af-ZA"/>
          </w:rPr>
          <w:t>https://doi.org/10.5952/53-3-4-273</w:t>
        </w:r>
      </w:hyperlink>
      <w:r w:rsidRPr="00AF638D">
        <w:rPr>
          <w:rFonts w:ascii="Book Antiqua" w:eastAsia="Times New Roman" w:hAnsi="Book Antiqua"/>
          <w:lang w:val="af-ZA" w:eastAsia="af-ZA"/>
        </w:rPr>
        <w:t>. (</w:t>
      </w:r>
      <w:hyperlink r:id="rId13" w:tooltip="Trinity, history – and discernment? | NGTT is now Stellenbosch Theological Journal (STJ)" w:history="1">
        <w:r w:rsidRPr="00AF638D">
          <w:rPr>
            <w:rFonts w:ascii="Book Antiqua" w:eastAsia="Times New Roman" w:hAnsi="Book Antiqua"/>
            <w:lang w:val="af-ZA" w:eastAsia="af-ZA"/>
          </w:rPr>
          <w:t>NGTT</w:t>
        </w:r>
      </w:hyperlink>
      <w:r w:rsidRPr="00AF638D">
        <w:rPr>
          <w:rFonts w:ascii="Book Antiqua" w:eastAsia="Times New Roman" w:hAnsi="Book Antiqua"/>
          <w:lang w:val="af-ZA" w:eastAsia="af-ZA"/>
        </w:rPr>
        <w:t>)</w:t>
      </w:r>
    </w:p>
    <w:p w14:paraId="1B2E4B20" w14:textId="77777777" w:rsidR="00EC4C7B" w:rsidRPr="00AF638D" w:rsidRDefault="00EC4C7B" w:rsidP="00AF638D">
      <w:pPr>
        <w:spacing w:after="0" w:line="276" w:lineRule="auto"/>
        <w:ind w:left="540" w:hanging="540"/>
        <w:jc w:val="both"/>
        <w:rPr>
          <w:rFonts w:ascii="Book Antiqua" w:eastAsia="Times New Roman" w:hAnsi="Book Antiqua"/>
        </w:rPr>
      </w:pPr>
      <w:r w:rsidRPr="00AF638D">
        <w:rPr>
          <w:rFonts w:ascii="Book Antiqua" w:eastAsia="Times New Roman" w:hAnsi="Book Antiqua"/>
        </w:rPr>
        <w:t xml:space="preserve">Tanner, Kathryn. </w:t>
      </w:r>
      <w:r w:rsidRPr="00AF638D">
        <w:rPr>
          <w:rFonts w:ascii="Book Antiqua" w:eastAsia="Times New Roman" w:hAnsi="Book Antiqua"/>
          <w:i/>
          <w:iCs/>
        </w:rPr>
        <w:t>Christ the Key</w:t>
      </w:r>
      <w:r w:rsidRPr="00AF638D">
        <w:rPr>
          <w:rFonts w:ascii="Book Antiqua" w:eastAsia="Times New Roman" w:hAnsi="Book Antiqua"/>
        </w:rPr>
        <w:t>. Cambridge: Cambridge University Press, 2010.</w:t>
      </w:r>
    </w:p>
    <w:p w14:paraId="5A04D2C8" w14:textId="77777777" w:rsidR="00EC4C7B" w:rsidRPr="00AF638D" w:rsidRDefault="00EC4C7B" w:rsidP="00AF638D">
      <w:pPr>
        <w:spacing w:after="0" w:line="276" w:lineRule="auto"/>
        <w:ind w:left="540" w:hanging="540"/>
        <w:jc w:val="both"/>
        <w:rPr>
          <w:rFonts w:ascii="Book Antiqua" w:eastAsia="Times New Roman" w:hAnsi="Book Antiqua"/>
        </w:rPr>
      </w:pPr>
      <w:r w:rsidRPr="00AF638D">
        <w:rPr>
          <w:rFonts w:ascii="Book Antiqua" w:eastAsia="Times New Roman" w:hAnsi="Book Antiqua"/>
          <w:i/>
          <w:iCs/>
        </w:rPr>
        <w:t>The Children’s Act, 1998 (Act 560)</w:t>
      </w:r>
      <w:r w:rsidRPr="00AF638D">
        <w:rPr>
          <w:rFonts w:ascii="Book Antiqua" w:eastAsia="Times New Roman" w:hAnsi="Book Antiqua"/>
        </w:rPr>
        <w:t>. Republic of Ghana.</w:t>
      </w:r>
    </w:p>
    <w:p w14:paraId="3F372B1C" w14:textId="77777777" w:rsidR="00EC4C7B" w:rsidRPr="00AF638D" w:rsidRDefault="00EC4C7B" w:rsidP="00AF638D">
      <w:pPr>
        <w:spacing w:after="0" w:line="276" w:lineRule="auto"/>
        <w:ind w:left="540" w:hanging="540"/>
        <w:jc w:val="both"/>
        <w:rPr>
          <w:rFonts w:ascii="Book Antiqua" w:eastAsia="Times New Roman" w:hAnsi="Book Antiqua"/>
        </w:rPr>
      </w:pPr>
      <w:r w:rsidRPr="00AF638D">
        <w:rPr>
          <w:rFonts w:ascii="Book Antiqua" w:eastAsia="Times New Roman" w:hAnsi="Book Antiqua"/>
        </w:rPr>
        <w:t xml:space="preserve">UNICEF. </w:t>
      </w:r>
      <w:r w:rsidRPr="00AF638D">
        <w:rPr>
          <w:rFonts w:ascii="Book Antiqua" w:eastAsia="Times New Roman" w:hAnsi="Book Antiqua"/>
          <w:i/>
          <w:iCs/>
        </w:rPr>
        <w:t>Situation Analysis of Children in Ghana</w:t>
      </w:r>
      <w:r w:rsidRPr="00AF638D">
        <w:rPr>
          <w:rFonts w:ascii="Book Antiqua" w:eastAsia="Times New Roman" w:hAnsi="Book Antiqua"/>
        </w:rPr>
        <w:t>. Accra: UNICEF Ghana, 2018.</w:t>
      </w:r>
    </w:p>
    <w:p w14:paraId="427DBA12" w14:textId="77777777" w:rsidR="00EC4C7B" w:rsidRPr="00AF638D" w:rsidRDefault="00EC4C7B" w:rsidP="00AF638D">
      <w:pPr>
        <w:spacing w:after="0" w:line="276" w:lineRule="auto"/>
        <w:ind w:left="540" w:hanging="540"/>
        <w:jc w:val="both"/>
        <w:rPr>
          <w:rFonts w:ascii="Book Antiqua" w:eastAsia="Times New Roman" w:hAnsi="Book Antiqua"/>
        </w:rPr>
      </w:pPr>
      <w:r w:rsidRPr="00AF638D">
        <w:rPr>
          <w:rFonts w:ascii="Book Antiqua" w:eastAsia="Times New Roman" w:hAnsi="Book Antiqua"/>
        </w:rPr>
        <w:t xml:space="preserve">UNICEF </w:t>
      </w:r>
      <w:r w:rsidRPr="00AF638D">
        <w:rPr>
          <w:rFonts w:ascii="Book Antiqua" w:eastAsia="Times New Roman" w:hAnsi="Book Antiqua"/>
          <w:i/>
          <w:iCs/>
        </w:rPr>
        <w:t>Study on the Economic Impact of Violence Against Children in Ghana</w:t>
      </w:r>
      <w:r w:rsidRPr="00AF638D">
        <w:rPr>
          <w:rFonts w:ascii="Book Antiqua" w:eastAsia="Times New Roman" w:hAnsi="Book Antiqua"/>
        </w:rPr>
        <w:t>. Accra: UNICEF Ghana, 2015.</w:t>
      </w:r>
    </w:p>
    <w:p w14:paraId="6C5829C4" w14:textId="77777777" w:rsidR="00EC4C7B" w:rsidRPr="00AF638D" w:rsidRDefault="00EC4C7B" w:rsidP="00AF638D">
      <w:pPr>
        <w:spacing w:after="0" w:line="276" w:lineRule="auto"/>
        <w:ind w:left="540" w:hanging="540"/>
        <w:jc w:val="both"/>
        <w:rPr>
          <w:rFonts w:ascii="Book Antiqua" w:eastAsia="Times New Roman" w:hAnsi="Book Antiqua"/>
        </w:rPr>
      </w:pPr>
      <w:r w:rsidRPr="00AF638D">
        <w:rPr>
          <w:rFonts w:ascii="Book Antiqua" w:eastAsia="Times New Roman" w:hAnsi="Book Antiqua"/>
        </w:rPr>
        <w:t xml:space="preserve">Venter, Rian. “Trinity and Ethics: An Overview of a Recent Debate.” In </w:t>
      </w:r>
      <w:r w:rsidRPr="00AF638D">
        <w:rPr>
          <w:rFonts w:ascii="Book Antiqua" w:eastAsia="Times New Roman" w:hAnsi="Book Antiqua"/>
          <w:i/>
          <w:iCs/>
        </w:rPr>
        <w:t>Trinity, Doxology, and Community</w:t>
      </w:r>
      <w:r w:rsidRPr="00AF638D">
        <w:rPr>
          <w:rFonts w:ascii="Book Antiqua" w:eastAsia="Times New Roman" w:hAnsi="Book Antiqua"/>
        </w:rPr>
        <w:t>, edited by Rian Venter. Bloemfontein: Sun Press, 2012.</w:t>
      </w:r>
    </w:p>
    <w:p w14:paraId="0D472D42" w14:textId="77777777" w:rsidR="00EC4C7B" w:rsidRPr="00AF638D" w:rsidRDefault="00EC4C7B" w:rsidP="00AF638D">
      <w:pPr>
        <w:spacing w:after="0" w:line="276" w:lineRule="auto"/>
        <w:ind w:left="540" w:hanging="540"/>
        <w:jc w:val="both"/>
        <w:rPr>
          <w:rFonts w:ascii="Book Antiqua" w:eastAsia="Times New Roman" w:hAnsi="Book Antiqua"/>
        </w:rPr>
      </w:pPr>
      <w:r w:rsidRPr="00AF638D">
        <w:rPr>
          <w:rFonts w:ascii="Book Antiqua" w:eastAsia="Times New Roman" w:hAnsi="Book Antiqua"/>
        </w:rPr>
        <w:t xml:space="preserve">Volf, Miroslav. </w:t>
      </w:r>
      <w:r w:rsidRPr="00AF638D">
        <w:rPr>
          <w:rFonts w:ascii="Book Antiqua" w:eastAsia="Times New Roman" w:hAnsi="Book Antiqua"/>
          <w:i/>
          <w:iCs/>
        </w:rPr>
        <w:t>After Our Likeness: The Church as the Image of the Trinity</w:t>
      </w:r>
      <w:r w:rsidRPr="00AF638D">
        <w:rPr>
          <w:rFonts w:ascii="Book Antiqua" w:eastAsia="Times New Roman" w:hAnsi="Book Antiqua"/>
        </w:rPr>
        <w:t>. Grand Rapids, MI: Eerdmans, 1998.</w:t>
      </w:r>
    </w:p>
    <w:p w14:paraId="7E9FE390" w14:textId="06DFC053" w:rsidR="00EC4C7B" w:rsidRPr="00AF638D" w:rsidRDefault="00EC4C7B" w:rsidP="00AF638D">
      <w:pPr>
        <w:spacing w:after="0" w:line="276" w:lineRule="auto"/>
        <w:ind w:left="540" w:hanging="540"/>
        <w:jc w:val="both"/>
        <w:rPr>
          <w:rFonts w:ascii="Book Antiqua" w:eastAsia="Times New Roman" w:hAnsi="Book Antiqua"/>
        </w:rPr>
      </w:pPr>
      <w:r w:rsidRPr="00AF638D">
        <w:rPr>
          <w:rFonts w:ascii="Book Antiqua" w:eastAsia="Times New Roman" w:hAnsi="Book Antiqua"/>
        </w:rPr>
        <w:t>Wihbey, John. “Global Prevale</w:t>
      </w:r>
      <w:r w:rsidRPr="00A224C3">
        <w:rPr>
          <w:rFonts w:ascii="Book Antiqua" w:eastAsia="Times New Roman" w:hAnsi="Book Antiqua"/>
        </w:rPr>
        <w:t xml:space="preserve">nce of Child Sexual Abuse.” </w:t>
      </w:r>
      <w:r w:rsidRPr="00A224C3">
        <w:rPr>
          <w:rFonts w:ascii="Book Antiqua" w:eastAsia="Times New Roman" w:hAnsi="Book Antiqua"/>
          <w:i/>
          <w:iCs/>
        </w:rPr>
        <w:t>Journalist’s Resource</w:t>
      </w:r>
      <w:r w:rsidR="00A224C3">
        <w:rPr>
          <w:rFonts w:ascii="Book Antiqua" w:eastAsia="Times New Roman" w:hAnsi="Book Antiqua"/>
        </w:rPr>
        <w:t xml:space="preserve"> </w:t>
      </w:r>
      <w:r w:rsidR="00A224C3" w:rsidRPr="00A224C3">
        <w:rPr>
          <w:rFonts w:ascii="Book Antiqua" w:eastAsia="Calibri" w:hAnsi="Book Antiqua"/>
        </w:rPr>
        <w:t>15, no. 4 (2011): 25-30</w:t>
      </w:r>
      <w:r w:rsidRPr="00A224C3">
        <w:rPr>
          <w:rFonts w:ascii="Book Antiqua" w:eastAsia="Times New Roman" w:hAnsi="Book Antiqua"/>
        </w:rPr>
        <w:t>.</w:t>
      </w:r>
    </w:p>
    <w:p w14:paraId="56E9FA0E" w14:textId="77777777" w:rsidR="00EC4C7B" w:rsidRPr="00AF638D" w:rsidRDefault="00EC4C7B" w:rsidP="00AF638D">
      <w:pPr>
        <w:spacing w:after="0" w:line="276" w:lineRule="auto"/>
        <w:ind w:left="540" w:hanging="540"/>
        <w:jc w:val="both"/>
        <w:rPr>
          <w:rFonts w:ascii="Book Antiqua" w:eastAsia="Times New Roman" w:hAnsi="Book Antiqua"/>
        </w:rPr>
      </w:pPr>
      <w:r w:rsidRPr="00AF638D">
        <w:rPr>
          <w:rFonts w:ascii="Book Antiqua" w:eastAsia="Times New Roman" w:hAnsi="Book Antiqua"/>
        </w:rPr>
        <w:t xml:space="preserve">Zizioulas, John D. </w:t>
      </w:r>
      <w:r w:rsidRPr="00AF638D">
        <w:rPr>
          <w:rFonts w:ascii="Book Antiqua" w:eastAsia="Times New Roman" w:hAnsi="Book Antiqua"/>
          <w:i/>
          <w:iCs/>
        </w:rPr>
        <w:t>Being as Communion: Studies in Personhood and the Church</w:t>
      </w:r>
      <w:r w:rsidRPr="00AF638D">
        <w:rPr>
          <w:rFonts w:ascii="Book Antiqua" w:eastAsia="Times New Roman" w:hAnsi="Book Antiqua"/>
        </w:rPr>
        <w:t>. Crestwood, NY: St. Vladimir’s Seminary Press, 1985.</w:t>
      </w:r>
    </w:p>
    <w:p w14:paraId="692AD6E8" w14:textId="77777777" w:rsidR="00EC4C7B" w:rsidRPr="00EC4C7B" w:rsidRDefault="00EC4C7B" w:rsidP="00EC4C7B">
      <w:pPr>
        <w:spacing w:after="0" w:line="360" w:lineRule="auto"/>
        <w:ind w:hanging="720"/>
        <w:jc w:val="both"/>
        <w:rPr>
          <w:rFonts w:eastAsia="Times New Roman"/>
        </w:rPr>
      </w:pPr>
    </w:p>
    <w:p w14:paraId="2B836ABC" w14:textId="77777777" w:rsidR="00EC4C7B" w:rsidRPr="00EC4C7B" w:rsidRDefault="00EC4C7B" w:rsidP="00EC4C7B">
      <w:pPr>
        <w:spacing w:after="0" w:line="360" w:lineRule="auto"/>
        <w:jc w:val="both"/>
      </w:pPr>
    </w:p>
    <w:p w14:paraId="772947A7" w14:textId="77777777" w:rsidR="009D3A02" w:rsidRPr="00EC4C7B" w:rsidRDefault="009D3A02" w:rsidP="006C2C79">
      <w:pPr>
        <w:spacing w:after="0" w:line="480" w:lineRule="auto"/>
        <w:jc w:val="both"/>
        <w:rPr>
          <w:rFonts w:eastAsia="Calibri"/>
          <w:b/>
          <w:bCs/>
          <w:lang w:val="af-ZA" w:eastAsia="af-ZA"/>
        </w:rPr>
      </w:pPr>
    </w:p>
    <w:sectPr w:rsidR="009D3A02" w:rsidRPr="00EC4C7B" w:rsidSect="00CC3E5B">
      <w:headerReference w:type="even" r:id="rId14"/>
      <w:headerReference w:type="default" r:id="rId15"/>
      <w:footerReference w:type="even" r:id="rId16"/>
      <w:footerReference w:type="default" r:id="rId17"/>
      <w:headerReference w:type="first" r:id="rId18"/>
      <w:footerReference w:type="first" r:id="rId19"/>
      <w:pgSz w:w="12240" w:h="15840"/>
      <w:pgMar w:top="1440" w:right="1440" w:bottom="1440" w:left="1440" w:header="708" w:footer="708" w:gutter="0"/>
      <w:pgNumType w:start="7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30386E" w14:textId="77777777" w:rsidR="00FC09F5" w:rsidRDefault="00FC09F5">
      <w:pPr>
        <w:spacing w:after="0" w:line="240" w:lineRule="auto"/>
      </w:pPr>
      <w:r>
        <w:separator/>
      </w:r>
    </w:p>
  </w:endnote>
  <w:endnote w:type="continuationSeparator" w:id="0">
    <w:p w14:paraId="0649E9D1" w14:textId="77777777" w:rsidR="00FC09F5" w:rsidRDefault="00FC09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34EAA" w14:textId="7E3C45D2" w:rsidR="0055374C" w:rsidRDefault="00CC3E5B" w:rsidP="00CC3E5B">
    <w:pPr>
      <w:pStyle w:val="Footer"/>
      <w:jc w:val="right"/>
    </w:pPr>
    <w:r>
      <w:rPr>
        <w:rFonts w:ascii="Book Antiqua" w:hAnsi="Book Antiqua"/>
      </w:rPr>
      <w:fldChar w:fldCharType="begin"/>
    </w:r>
    <w:r>
      <w:rPr>
        <w:rFonts w:ascii="Book Antiqua" w:hAnsi="Book Antiqua"/>
      </w:rPr>
      <w:instrText>PAGE</w:instrText>
    </w:r>
    <w:r>
      <w:rPr>
        <w:rFonts w:ascii="Book Antiqua" w:hAnsi="Book Antiqua"/>
      </w:rPr>
      <w:fldChar w:fldCharType="separate"/>
    </w:r>
    <w:r>
      <w:rPr>
        <w:rFonts w:ascii="Book Antiqua" w:hAnsi="Book Antiqua"/>
        <w:noProof/>
      </w:rPr>
      <w:t>78</w:t>
    </w:r>
    <w:r>
      <w:rPr>
        <w:rFonts w:ascii="Book Antiqua" w:hAnsi="Book Antiqua"/>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C472B" w14:textId="0A0FF8C8" w:rsidR="00453090" w:rsidRPr="00FA3ABC" w:rsidRDefault="00CC3E5B" w:rsidP="0055374C">
    <w:pPr>
      <w:jc w:val="right"/>
      <w:rPr>
        <w:rFonts w:ascii="Book Antiqua" w:hAnsi="Book Antiqua"/>
      </w:rPr>
    </w:pPr>
    <w:r>
      <w:rPr>
        <w:rFonts w:ascii="Book Antiqua" w:hAnsi="Book Antiqua"/>
      </w:rPr>
      <w:fldChar w:fldCharType="begin"/>
    </w:r>
    <w:r>
      <w:rPr>
        <w:rFonts w:ascii="Book Antiqua" w:hAnsi="Book Antiqua"/>
      </w:rPr>
      <w:instrText>PAGE</w:instrText>
    </w:r>
    <w:r>
      <w:rPr>
        <w:rFonts w:ascii="Book Antiqua" w:hAnsi="Book Antiqua"/>
      </w:rPr>
      <w:fldChar w:fldCharType="separate"/>
    </w:r>
    <w:r>
      <w:rPr>
        <w:rFonts w:ascii="Book Antiqua" w:hAnsi="Book Antiqua"/>
        <w:noProof/>
      </w:rPr>
      <w:t>77</w:t>
    </w:r>
    <w:r>
      <w:rPr>
        <w:rFonts w:ascii="Book Antiqua" w:hAnsi="Book Antiqua"/>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A44BC" w14:textId="77777777" w:rsidR="00D667CA" w:rsidRDefault="00D667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032AB7" w14:textId="77777777" w:rsidR="00FC09F5" w:rsidRDefault="00FC09F5">
      <w:pPr>
        <w:spacing w:after="0" w:line="240" w:lineRule="auto"/>
      </w:pPr>
      <w:r>
        <w:separator/>
      </w:r>
    </w:p>
  </w:footnote>
  <w:footnote w:type="continuationSeparator" w:id="0">
    <w:p w14:paraId="60E76B9B" w14:textId="77777777" w:rsidR="00FC09F5" w:rsidRDefault="00FC09F5">
      <w:pPr>
        <w:spacing w:after="0" w:line="240" w:lineRule="auto"/>
      </w:pPr>
      <w:r>
        <w:continuationSeparator/>
      </w:r>
    </w:p>
  </w:footnote>
  <w:footnote w:id="1">
    <w:p w14:paraId="664319A8" w14:textId="6938D98C" w:rsidR="00DC6E15" w:rsidRPr="008F4348" w:rsidRDefault="00DC6E15" w:rsidP="00BE09A1">
      <w:pPr>
        <w:spacing w:after="0" w:line="240" w:lineRule="auto"/>
        <w:jc w:val="both"/>
        <w:rPr>
          <w:rFonts w:ascii="Book Antiqua" w:eastAsia="Calibri" w:hAnsi="Book Antiqua"/>
          <w:sz w:val="20"/>
          <w:szCs w:val="20"/>
        </w:rPr>
      </w:pPr>
      <w:r w:rsidRPr="008F4348">
        <w:rPr>
          <w:rStyle w:val="FootnoteReference"/>
          <w:rFonts w:ascii="Book Antiqua" w:hAnsi="Book Antiqua"/>
          <w:sz w:val="20"/>
          <w:szCs w:val="20"/>
        </w:rPr>
        <w:footnoteRef/>
      </w:r>
      <w:r w:rsidRPr="008F4348">
        <w:rPr>
          <w:rFonts w:ascii="Book Antiqua" w:hAnsi="Book Antiqua"/>
          <w:sz w:val="20"/>
          <w:szCs w:val="20"/>
        </w:rPr>
        <w:t xml:space="preserve"> </w:t>
      </w:r>
      <w:r w:rsidRPr="008F4348">
        <w:rPr>
          <w:rFonts w:ascii="Book Antiqua" w:eastAsia="Calibri" w:hAnsi="Book Antiqua"/>
          <w:sz w:val="20"/>
          <w:szCs w:val="20"/>
        </w:rPr>
        <w:t xml:space="preserve">Prakash B. Behere and Anweshak Mulmule, “Sexual Abuse in Children,” </w:t>
      </w:r>
      <w:r w:rsidRPr="008F4348">
        <w:rPr>
          <w:rFonts w:ascii="Book Antiqua" w:eastAsia="Calibri" w:hAnsi="Book Antiqua"/>
          <w:i/>
          <w:iCs/>
          <w:sz w:val="20"/>
          <w:szCs w:val="20"/>
        </w:rPr>
        <w:t>Journal of Indian Association for Child and Adolescent Mental Health</w:t>
      </w:r>
      <w:r w:rsidRPr="008F4348">
        <w:rPr>
          <w:rFonts w:ascii="Book Antiqua" w:eastAsia="Calibri" w:hAnsi="Book Antiqua"/>
          <w:sz w:val="20"/>
          <w:szCs w:val="20"/>
        </w:rPr>
        <w:t xml:space="preserve"> 10, no. 2 (2014): 96–119.</w:t>
      </w:r>
    </w:p>
  </w:footnote>
  <w:footnote w:id="2">
    <w:p w14:paraId="6A58EADA" w14:textId="0FC7EEF5" w:rsidR="00DC6E15" w:rsidRPr="008F4348" w:rsidRDefault="00DC6E15" w:rsidP="005E52B8">
      <w:pPr>
        <w:spacing w:after="0" w:line="240" w:lineRule="auto"/>
        <w:jc w:val="both"/>
        <w:rPr>
          <w:rFonts w:ascii="Book Antiqua" w:eastAsia="Calibri" w:hAnsi="Book Antiqua"/>
          <w:sz w:val="20"/>
          <w:szCs w:val="20"/>
        </w:rPr>
      </w:pPr>
      <w:r w:rsidRPr="008F4348">
        <w:rPr>
          <w:rStyle w:val="FootnoteReference"/>
          <w:rFonts w:ascii="Book Antiqua" w:hAnsi="Book Antiqua"/>
          <w:sz w:val="20"/>
          <w:szCs w:val="20"/>
        </w:rPr>
        <w:footnoteRef/>
      </w:r>
      <w:r w:rsidRPr="008F4348">
        <w:rPr>
          <w:rFonts w:ascii="Book Antiqua" w:hAnsi="Book Antiqua"/>
          <w:sz w:val="20"/>
          <w:szCs w:val="20"/>
        </w:rPr>
        <w:t xml:space="preserve"> </w:t>
      </w:r>
      <w:r w:rsidRPr="008F4348">
        <w:rPr>
          <w:rFonts w:ascii="Book Antiqua" w:eastAsia="Calibri" w:hAnsi="Book Antiqua"/>
          <w:sz w:val="20"/>
          <w:szCs w:val="20"/>
        </w:rPr>
        <w:t>John Wihbey, “</w:t>
      </w:r>
      <w:r w:rsidR="00A2713E" w:rsidRPr="00A2713E">
        <w:rPr>
          <w:rFonts w:ascii="Book Antiqua" w:eastAsia="Calibri" w:hAnsi="Book Antiqua"/>
          <w:sz w:val="20"/>
          <w:szCs w:val="20"/>
        </w:rPr>
        <w:t>Global prevalence of child sexual abuse</w:t>
      </w:r>
      <w:r w:rsidRPr="008F4348">
        <w:rPr>
          <w:rFonts w:ascii="Book Antiqua" w:eastAsia="Calibri" w:hAnsi="Book Antiqua"/>
          <w:sz w:val="20"/>
          <w:szCs w:val="20"/>
        </w:rPr>
        <w:t xml:space="preserve">,” </w:t>
      </w:r>
      <w:r w:rsidRPr="008F4348">
        <w:rPr>
          <w:rFonts w:ascii="Book Antiqua" w:eastAsia="Calibri" w:hAnsi="Book Antiqua"/>
          <w:i/>
          <w:iCs/>
          <w:sz w:val="20"/>
          <w:szCs w:val="20"/>
        </w:rPr>
        <w:t>Journalist’s Resource</w:t>
      </w:r>
      <w:r w:rsidRPr="008F4348">
        <w:rPr>
          <w:rFonts w:ascii="Book Antiqua" w:eastAsia="Calibri" w:hAnsi="Book Antiqua"/>
          <w:sz w:val="20"/>
          <w:szCs w:val="20"/>
        </w:rPr>
        <w:t xml:space="preserve">, </w:t>
      </w:r>
      <w:r w:rsidR="00A2713E">
        <w:rPr>
          <w:rFonts w:ascii="Book Antiqua" w:eastAsia="Calibri" w:hAnsi="Book Antiqua"/>
          <w:sz w:val="20"/>
          <w:szCs w:val="20"/>
        </w:rPr>
        <w:t xml:space="preserve">15, no. 4 (2011): </w:t>
      </w:r>
      <w:r w:rsidR="00A2713E" w:rsidRPr="00A2713E">
        <w:rPr>
          <w:rFonts w:ascii="Book Antiqua" w:eastAsia="Calibri" w:hAnsi="Book Antiqua"/>
          <w:sz w:val="20"/>
          <w:szCs w:val="20"/>
        </w:rPr>
        <w:t>25-30</w:t>
      </w:r>
      <w:r w:rsidRPr="008F4348">
        <w:rPr>
          <w:rFonts w:ascii="Book Antiqua" w:eastAsia="Calibri" w:hAnsi="Book Antiqua"/>
          <w:sz w:val="20"/>
          <w:szCs w:val="20"/>
        </w:rPr>
        <w:t>.</w:t>
      </w:r>
    </w:p>
  </w:footnote>
  <w:footnote w:id="3">
    <w:p w14:paraId="2593CC56" w14:textId="10428759" w:rsidR="00B120E7" w:rsidRPr="008F4348" w:rsidRDefault="00B120E7" w:rsidP="007D2252">
      <w:pPr>
        <w:spacing w:after="0" w:line="240" w:lineRule="auto"/>
        <w:rPr>
          <w:rFonts w:ascii="Book Antiqua" w:eastAsia="Calibri" w:hAnsi="Book Antiqua"/>
          <w:sz w:val="20"/>
          <w:szCs w:val="20"/>
        </w:rPr>
      </w:pPr>
      <w:r w:rsidRPr="008F4348">
        <w:rPr>
          <w:rStyle w:val="FootnoteReference"/>
          <w:rFonts w:ascii="Book Antiqua" w:hAnsi="Book Antiqua"/>
          <w:sz w:val="20"/>
          <w:szCs w:val="20"/>
        </w:rPr>
        <w:footnoteRef/>
      </w:r>
      <w:r w:rsidRPr="008F4348">
        <w:rPr>
          <w:rFonts w:ascii="Book Antiqua" w:hAnsi="Book Antiqua"/>
          <w:sz w:val="20"/>
          <w:szCs w:val="20"/>
        </w:rPr>
        <w:t xml:space="preserve"> </w:t>
      </w:r>
      <w:r w:rsidRPr="008F4348">
        <w:rPr>
          <w:rFonts w:ascii="Book Antiqua" w:eastAsia="Calibri" w:hAnsi="Book Antiqua"/>
          <w:sz w:val="20"/>
          <w:szCs w:val="20"/>
        </w:rPr>
        <w:t>Behere and Mulmule, “Sexual Abuse in Children,” 96–119.</w:t>
      </w:r>
    </w:p>
  </w:footnote>
  <w:footnote w:id="4">
    <w:p w14:paraId="12E19E99" w14:textId="57567595" w:rsidR="00B120E7" w:rsidRPr="008F4348" w:rsidRDefault="00B120E7" w:rsidP="007D2252">
      <w:pPr>
        <w:spacing w:after="0" w:line="240" w:lineRule="auto"/>
        <w:rPr>
          <w:rFonts w:ascii="Book Antiqua" w:eastAsia="Calibri" w:hAnsi="Book Antiqua"/>
          <w:sz w:val="20"/>
          <w:szCs w:val="20"/>
        </w:rPr>
      </w:pPr>
      <w:r w:rsidRPr="008F4348">
        <w:rPr>
          <w:rStyle w:val="FootnoteReference"/>
          <w:rFonts w:ascii="Book Antiqua" w:hAnsi="Book Antiqua"/>
          <w:sz w:val="20"/>
          <w:szCs w:val="20"/>
        </w:rPr>
        <w:footnoteRef/>
      </w:r>
      <w:r w:rsidRPr="008F4348">
        <w:rPr>
          <w:rFonts w:ascii="Book Antiqua" w:hAnsi="Book Antiqua"/>
          <w:sz w:val="20"/>
          <w:szCs w:val="20"/>
        </w:rPr>
        <w:t xml:space="preserve"> </w:t>
      </w:r>
      <w:r w:rsidRPr="008F4348">
        <w:rPr>
          <w:rFonts w:ascii="Book Antiqua" w:eastAsia="Calibri" w:hAnsi="Book Antiqua"/>
          <w:sz w:val="20"/>
          <w:szCs w:val="20"/>
        </w:rPr>
        <w:t>Wihbey, “Child Sexual Abuse.”</w:t>
      </w:r>
    </w:p>
  </w:footnote>
  <w:footnote w:id="5">
    <w:p w14:paraId="63BB56CC" w14:textId="671A9857" w:rsidR="0094714C" w:rsidRPr="008F4348" w:rsidRDefault="0094714C" w:rsidP="007D2252">
      <w:pPr>
        <w:spacing w:after="0" w:line="240" w:lineRule="auto"/>
        <w:jc w:val="both"/>
        <w:rPr>
          <w:rFonts w:ascii="Book Antiqua" w:eastAsia="Calibri" w:hAnsi="Book Antiqua"/>
          <w:sz w:val="20"/>
          <w:szCs w:val="20"/>
        </w:rPr>
      </w:pPr>
      <w:r w:rsidRPr="008F4348">
        <w:rPr>
          <w:rStyle w:val="FootnoteReference"/>
          <w:rFonts w:ascii="Book Antiqua" w:hAnsi="Book Antiqua"/>
          <w:sz w:val="20"/>
          <w:szCs w:val="20"/>
        </w:rPr>
        <w:footnoteRef/>
      </w:r>
      <w:r w:rsidRPr="008F4348">
        <w:rPr>
          <w:rFonts w:ascii="Book Antiqua" w:hAnsi="Book Antiqua"/>
          <w:sz w:val="20"/>
          <w:szCs w:val="20"/>
        </w:rPr>
        <w:t xml:space="preserve"> </w:t>
      </w:r>
      <w:r w:rsidRPr="008F4348">
        <w:rPr>
          <w:rFonts w:ascii="Book Antiqua" w:eastAsia="Calibri" w:hAnsi="Book Antiqua"/>
          <w:sz w:val="20"/>
          <w:szCs w:val="20"/>
        </w:rPr>
        <w:t>Lisa Rudolfsson, “Abused, Ashamed, and Alone: Experiences of Shame Among Victims of Sexual Abuse” (PhD diss., Örebro University, 2015).</w:t>
      </w:r>
    </w:p>
  </w:footnote>
  <w:footnote w:id="6">
    <w:p w14:paraId="1424E378" w14:textId="25BD3803" w:rsidR="0094714C" w:rsidRPr="008F4348" w:rsidRDefault="0094714C" w:rsidP="007D2252">
      <w:pPr>
        <w:spacing w:after="0" w:line="240" w:lineRule="auto"/>
        <w:jc w:val="both"/>
        <w:rPr>
          <w:rFonts w:ascii="Book Antiqua" w:eastAsia="Calibri" w:hAnsi="Book Antiqua"/>
          <w:sz w:val="20"/>
          <w:szCs w:val="20"/>
        </w:rPr>
      </w:pPr>
      <w:r w:rsidRPr="008F4348">
        <w:rPr>
          <w:rStyle w:val="FootnoteReference"/>
          <w:rFonts w:ascii="Book Antiqua" w:hAnsi="Book Antiqua"/>
          <w:sz w:val="20"/>
          <w:szCs w:val="20"/>
        </w:rPr>
        <w:footnoteRef/>
      </w:r>
      <w:r w:rsidRPr="008F4348">
        <w:rPr>
          <w:rFonts w:ascii="Book Antiqua" w:hAnsi="Book Antiqua"/>
          <w:sz w:val="20"/>
          <w:szCs w:val="20"/>
        </w:rPr>
        <w:t xml:space="preserve"> </w:t>
      </w:r>
      <w:r w:rsidRPr="008F4348">
        <w:rPr>
          <w:rFonts w:ascii="Book Antiqua" w:eastAsia="Calibri" w:hAnsi="Book Antiqua"/>
          <w:sz w:val="20"/>
          <w:szCs w:val="20"/>
        </w:rPr>
        <w:t xml:space="preserve">Lisa Rudolfsson and Inga Tidefors, “Shame and Sexual Abuse: A Pastoral Care Perspective,” </w:t>
      </w:r>
      <w:r w:rsidRPr="008F4348">
        <w:rPr>
          <w:rFonts w:ascii="Book Antiqua" w:eastAsia="Calibri" w:hAnsi="Book Antiqua"/>
          <w:i/>
          <w:iCs/>
          <w:sz w:val="20"/>
          <w:szCs w:val="20"/>
        </w:rPr>
        <w:t>Journal of Pastoral Care &amp; Counseling</w:t>
      </w:r>
      <w:r w:rsidRPr="008F4348">
        <w:rPr>
          <w:rFonts w:ascii="Book Antiqua" w:eastAsia="Calibri" w:hAnsi="Book Antiqua"/>
          <w:sz w:val="20"/>
          <w:szCs w:val="20"/>
        </w:rPr>
        <w:t xml:space="preserve"> 67, no. 4 (2013).</w:t>
      </w:r>
    </w:p>
  </w:footnote>
  <w:footnote w:id="7">
    <w:p w14:paraId="03F0EC17" w14:textId="1C3CF88A" w:rsidR="0094714C" w:rsidRPr="008F4348" w:rsidRDefault="0094714C" w:rsidP="007D2252">
      <w:pPr>
        <w:spacing w:after="0" w:line="240" w:lineRule="auto"/>
        <w:jc w:val="both"/>
        <w:rPr>
          <w:rFonts w:ascii="Book Antiqua" w:eastAsia="Calibri" w:hAnsi="Book Antiqua"/>
          <w:sz w:val="20"/>
          <w:szCs w:val="20"/>
        </w:rPr>
      </w:pPr>
      <w:r w:rsidRPr="008F4348">
        <w:rPr>
          <w:rStyle w:val="FootnoteReference"/>
          <w:rFonts w:ascii="Book Antiqua" w:hAnsi="Book Antiqua"/>
          <w:sz w:val="20"/>
          <w:szCs w:val="20"/>
        </w:rPr>
        <w:footnoteRef/>
      </w:r>
      <w:r w:rsidRPr="008F4348">
        <w:rPr>
          <w:rFonts w:ascii="Book Antiqua" w:hAnsi="Book Antiqua"/>
          <w:sz w:val="20"/>
          <w:szCs w:val="20"/>
        </w:rPr>
        <w:t xml:space="preserve"> </w:t>
      </w:r>
      <w:r w:rsidRPr="008F4348">
        <w:rPr>
          <w:rFonts w:ascii="Book Antiqua" w:eastAsia="Calibri" w:hAnsi="Book Antiqua"/>
          <w:sz w:val="20"/>
          <w:szCs w:val="20"/>
        </w:rPr>
        <w:t xml:space="preserve">Akosua Adomako Ampofo, Josephine Beoku-Betts, Wairimu Ngaruiya Njambi, and Mary Osirim, “Women’s and Gender Studies in English-Speaking Sub-Saharan Africa,” </w:t>
      </w:r>
      <w:r w:rsidRPr="008F4348">
        <w:rPr>
          <w:rFonts w:ascii="Book Antiqua" w:eastAsia="Calibri" w:hAnsi="Book Antiqua"/>
          <w:i/>
          <w:iCs/>
          <w:sz w:val="20"/>
          <w:szCs w:val="20"/>
        </w:rPr>
        <w:t>Gender &amp; Society</w:t>
      </w:r>
      <w:r w:rsidRPr="008F4348">
        <w:rPr>
          <w:rFonts w:ascii="Book Antiqua" w:eastAsia="Calibri" w:hAnsi="Book Antiqua"/>
          <w:sz w:val="20"/>
          <w:szCs w:val="20"/>
        </w:rPr>
        <w:t xml:space="preserve"> 18, no. 6 (2007).</w:t>
      </w:r>
    </w:p>
  </w:footnote>
  <w:footnote w:id="8">
    <w:p w14:paraId="2E206198" w14:textId="0C6741EA" w:rsidR="00A26D9D" w:rsidRPr="008F4348" w:rsidRDefault="00A26D9D" w:rsidP="005E52B8">
      <w:pPr>
        <w:spacing w:after="0" w:line="240" w:lineRule="auto"/>
        <w:rPr>
          <w:rFonts w:ascii="Book Antiqua" w:eastAsia="Times New Roman" w:hAnsi="Book Antiqua"/>
          <w:sz w:val="20"/>
          <w:szCs w:val="20"/>
          <w:lang w:val="af-ZA" w:eastAsia="af-ZA"/>
        </w:rPr>
      </w:pPr>
      <w:r w:rsidRPr="008F4348">
        <w:rPr>
          <w:rStyle w:val="FootnoteReference"/>
          <w:rFonts w:ascii="Book Antiqua" w:hAnsi="Book Antiqua"/>
          <w:sz w:val="20"/>
          <w:szCs w:val="20"/>
        </w:rPr>
        <w:footnoteRef/>
      </w:r>
      <w:r w:rsidRPr="008F4348">
        <w:rPr>
          <w:rFonts w:ascii="Book Antiqua" w:hAnsi="Book Antiqua"/>
          <w:sz w:val="20"/>
          <w:szCs w:val="20"/>
        </w:rPr>
        <w:t xml:space="preserve"> </w:t>
      </w:r>
      <w:r w:rsidRPr="008F4348">
        <w:rPr>
          <w:rFonts w:ascii="Book Antiqua" w:eastAsia="Times New Roman" w:hAnsi="Book Antiqua"/>
          <w:sz w:val="20"/>
          <w:szCs w:val="20"/>
          <w:lang w:val="af-ZA" w:eastAsia="af-ZA"/>
        </w:rPr>
        <w:t xml:space="preserve">Kevin Lalor, “Child Sexual Abuse in Sub-Saharan Africa: A Literature Review,” </w:t>
      </w:r>
      <w:r w:rsidRPr="008F4348">
        <w:rPr>
          <w:rFonts w:ascii="Book Antiqua" w:eastAsia="Times New Roman" w:hAnsi="Book Antiqua"/>
          <w:i/>
          <w:iCs/>
          <w:sz w:val="20"/>
          <w:szCs w:val="20"/>
          <w:lang w:val="af-ZA" w:eastAsia="af-ZA"/>
        </w:rPr>
        <w:t>Child Abuse &amp; Neglect</w:t>
      </w:r>
      <w:r w:rsidRPr="008F4348">
        <w:rPr>
          <w:rFonts w:ascii="Book Antiqua" w:eastAsia="Times New Roman" w:hAnsi="Book Antiqua"/>
          <w:sz w:val="20"/>
          <w:szCs w:val="20"/>
          <w:lang w:val="af-ZA" w:eastAsia="af-ZA"/>
        </w:rPr>
        <w:t xml:space="preserve"> 28, no. 4 (2004): 439–460, </w:t>
      </w:r>
      <w:hyperlink r:id="rId1" w:history="1">
        <w:r w:rsidRPr="008F4348">
          <w:rPr>
            <w:rFonts w:ascii="Book Antiqua" w:eastAsia="Times New Roman" w:hAnsi="Book Antiqua"/>
            <w:sz w:val="20"/>
            <w:szCs w:val="20"/>
            <w:lang w:val="af-ZA" w:eastAsia="af-ZA"/>
          </w:rPr>
          <w:t>https://doi.org/10.1016/j.chiabu.2003.07.005</w:t>
        </w:r>
      </w:hyperlink>
      <w:r w:rsidRPr="008F4348">
        <w:rPr>
          <w:rFonts w:ascii="Book Antiqua" w:eastAsia="Times New Roman" w:hAnsi="Book Antiqua"/>
          <w:sz w:val="20"/>
          <w:szCs w:val="20"/>
          <w:lang w:val="af-ZA" w:eastAsia="af-ZA"/>
        </w:rPr>
        <w:t>. (</w:t>
      </w:r>
      <w:hyperlink r:id="rId2" w:tooltip="Child sexual abuse in sub-Saharan Africa: a literature review - PubMed" w:history="1">
        <w:r w:rsidRPr="008F4348">
          <w:rPr>
            <w:rFonts w:ascii="Book Antiqua" w:eastAsia="Times New Roman" w:hAnsi="Book Antiqua"/>
            <w:sz w:val="20"/>
            <w:szCs w:val="20"/>
            <w:lang w:val="af-ZA" w:eastAsia="af-ZA"/>
          </w:rPr>
          <w:t>PubMed</w:t>
        </w:r>
      </w:hyperlink>
      <w:r w:rsidRPr="008F4348">
        <w:rPr>
          <w:rFonts w:ascii="Book Antiqua" w:eastAsia="Times New Roman" w:hAnsi="Book Antiqua"/>
          <w:sz w:val="20"/>
          <w:szCs w:val="20"/>
          <w:lang w:val="af-ZA" w:eastAsia="af-ZA"/>
        </w:rPr>
        <w:t>)</w:t>
      </w:r>
    </w:p>
  </w:footnote>
  <w:footnote w:id="9">
    <w:p w14:paraId="2BDCA923" w14:textId="0B555073" w:rsidR="0094714C" w:rsidRPr="008F4348" w:rsidRDefault="0094714C" w:rsidP="005E52B8">
      <w:pPr>
        <w:spacing w:after="0" w:line="240" w:lineRule="auto"/>
        <w:jc w:val="both"/>
        <w:rPr>
          <w:rFonts w:ascii="Book Antiqua" w:eastAsia="Calibri" w:hAnsi="Book Antiqua"/>
          <w:sz w:val="20"/>
          <w:szCs w:val="20"/>
        </w:rPr>
      </w:pPr>
      <w:r w:rsidRPr="008F4348">
        <w:rPr>
          <w:rStyle w:val="FootnoteReference"/>
          <w:rFonts w:ascii="Book Antiqua" w:hAnsi="Book Antiqua"/>
          <w:sz w:val="20"/>
          <w:szCs w:val="20"/>
        </w:rPr>
        <w:footnoteRef/>
      </w:r>
      <w:r w:rsidRPr="008F4348">
        <w:rPr>
          <w:rFonts w:ascii="Book Antiqua" w:hAnsi="Book Antiqua"/>
          <w:sz w:val="20"/>
          <w:szCs w:val="20"/>
        </w:rPr>
        <w:t xml:space="preserve"> </w:t>
      </w:r>
      <w:r w:rsidRPr="008F4348">
        <w:rPr>
          <w:rFonts w:ascii="Book Antiqua" w:eastAsia="Calibri" w:hAnsi="Book Antiqua"/>
          <w:sz w:val="20"/>
          <w:szCs w:val="20"/>
        </w:rPr>
        <w:t xml:space="preserve">Kenneth Mtata, “Child Theology and the African Context,” in </w:t>
      </w:r>
      <w:r w:rsidRPr="008F4348">
        <w:rPr>
          <w:rFonts w:ascii="Book Antiqua" w:eastAsia="Calibri" w:hAnsi="Book Antiqua"/>
          <w:i/>
          <w:iCs/>
          <w:sz w:val="20"/>
          <w:szCs w:val="20"/>
        </w:rPr>
        <w:t>Building from the Rubbles: Theological Reflections on the Global Financial Crisis and Other Essays</w:t>
      </w:r>
      <w:r w:rsidRPr="008F4348">
        <w:rPr>
          <w:rFonts w:ascii="Book Antiqua" w:eastAsia="Calibri" w:hAnsi="Book Antiqua"/>
          <w:sz w:val="20"/>
          <w:szCs w:val="20"/>
        </w:rPr>
        <w:t xml:space="preserve"> (Geneva: World Council of Churches, 2009).</w:t>
      </w:r>
    </w:p>
  </w:footnote>
  <w:footnote w:id="10">
    <w:p w14:paraId="44F6D184" w14:textId="143188C2" w:rsidR="002D3102" w:rsidRPr="008F4348" w:rsidRDefault="002D3102" w:rsidP="006C2C79">
      <w:pPr>
        <w:spacing w:after="0" w:line="240" w:lineRule="auto"/>
        <w:jc w:val="both"/>
        <w:rPr>
          <w:rFonts w:ascii="Book Antiqua" w:eastAsia="Calibri" w:hAnsi="Book Antiqua"/>
          <w:sz w:val="20"/>
          <w:szCs w:val="20"/>
        </w:rPr>
      </w:pPr>
      <w:r w:rsidRPr="008F4348">
        <w:rPr>
          <w:rStyle w:val="FootnoteReference"/>
          <w:rFonts w:ascii="Book Antiqua" w:hAnsi="Book Antiqua"/>
          <w:sz w:val="20"/>
          <w:szCs w:val="20"/>
        </w:rPr>
        <w:footnoteRef/>
      </w:r>
      <w:r w:rsidRPr="008F4348">
        <w:rPr>
          <w:rFonts w:ascii="Book Antiqua" w:hAnsi="Book Antiqua"/>
          <w:sz w:val="20"/>
          <w:szCs w:val="20"/>
        </w:rPr>
        <w:t xml:space="preserve"> </w:t>
      </w:r>
      <w:r w:rsidRPr="008F4348">
        <w:rPr>
          <w:rFonts w:ascii="Book Antiqua" w:eastAsia="Calibri" w:hAnsi="Book Antiqua"/>
          <w:sz w:val="20"/>
          <w:szCs w:val="20"/>
        </w:rPr>
        <w:t xml:space="preserve">Didier Reynaert, “Power and Children’s Rights: An Analysis,” in </w:t>
      </w:r>
      <w:r w:rsidRPr="008F4348">
        <w:rPr>
          <w:rFonts w:ascii="Book Antiqua" w:eastAsia="Calibri" w:hAnsi="Book Antiqua"/>
          <w:i/>
          <w:iCs/>
          <w:sz w:val="20"/>
          <w:szCs w:val="20"/>
        </w:rPr>
        <w:t>Routledge International Handbook of Children’s Rights Studies</w:t>
      </w:r>
      <w:r w:rsidRPr="008F4348">
        <w:rPr>
          <w:rFonts w:ascii="Book Antiqua" w:eastAsia="Calibri" w:hAnsi="Book Antiqua"/>
          <w:sz w:val="20"/>
          <w:szCs w:val="20"/>
        </w:rPr>
        <w:t>, ed. Wouter Vandenhole, Ellen Desmet, Didier Reynaert, and Sara Lembrechts (Abingdon: Routledge, 2015).</w:t>
      </w:r>
    </w:p>
  </w:footnote>
  <w:footnote w:id="11">
    <w:p w14:paraId="7E1B41C9" w14:textId="4B58275C" w:rsidR="00B248C3" w:rsidRPr="00CD252A" w:rsidRDefault="00B248C3" w:rsidP="006C2C79">
      <w:pPr>
        <w:spacing w:after="0" w:line="240" w:lineRule="auto"/>
        <w:rPr>
          <w:rFonts w:ascii="Book Antiqua" w:eastAsia="Calibri" w:hAnsi="Book Antiqua"/>
          <w:sz w:val="20"/>
          <w:szCs w:val="20"/>
        </w:rPr>
      </w:pPr>
      <w:r w:rsidRPr="00CD252A">
        <w:rPr>
          <w:rStyle w:val="FootnoteReference"/>
          <w:rFonts w:ascii="Book Antiqua" w:hAnsi="Book Antiqua"/>
          <w:sz w:val="20"/>
          <w:szCs w:val="20"/>
        </w:rPr>
        <w:footnoteRef/>
      </w:r>
      <w:r w:rsidRPr="00CD252A">
        <w:rPr>
          <w:rFonts w:ascii="Book Antiqua" w:hAnsi="Book Antiqua"/>
          <w:sz w:val="20"/>
          <w:szCs w:val="20"/>
        </w:rPr>
        <w:t xml:space="preserve"> </w:t>
      </w:r>
      <w:r w:rsidRPr="00CD252A">
        <w:rPr>
          <w:rFonts w:ascii="Book Antiqua" w:eastAsia="Calibri" w:hAnsi="Book Antiqua"/>
          <w:sz w:val="20"/>
          <w:szCs w:val="20"/>
        </w:rPr>
        <w:t>Mtata, “Child Theology and the African Context.”</w:t>
      </w:r>
    </w:p>
  </w:footnote>
  <w:footnote w:id="12">
    <w:p w14:paraId="4A7ECA96" w14:textId="305A8590" w:rsidR="00B248C3" w:rsidRPr="00CD252A" w:rsidRDefault="00B248C3" w:rsidP="006C2C79">
      <w:pPr>
        <w:spacing w:after="0" w:line="240" w:lineRule="auto"/>
        <w:rPr>
          <w:rFonts w:ascii="Book Antiqua" w:eastAsia="Calibri" w:hAnsi="Book Antiqua"/>
          <w:sz w:val="20"/>
          <w:szCs w:val="20"/>
        </w:rPr>
      </w:pPr>
      <w:r w:rsidRPr="00CD252A">
        <w:rPr>
          <w:rStyle w:val="FootnoteReference"/>
          <w:rFonts w:ascii="Book Antiqua" w:hAnsi="Book Antiqua"/>
          <w:sz w:val="20"/>
          <w:szCs w:val="20"/>
        </w:rPr>
        <w:footnoteRef/>
      </w:r>
      <w:r w:rsidRPr="00CD252A">
        <w:rPr>
          <w:rFonts w:ascii="Book Antiqua" w:hAnsi="Book Antiqua"/>
          <w:sz w:val="20"/>
          <w:szCs w:val="20"/>
        </w:rPr>
        <w:t xml:space="preserve"> </w:t>
      </w:r>
      <w:r w:rsidRPr="00CD252A">
        <w:rPr>
          <w:rFonts w:ascii="Book Antiqua" w:eastAsia="Calibri" w:hAnsi="Book Antiqua"/>
          <w:sz w:val="20"/>
          <w:szCs w:val="20"/>
        </w:rPr>
        <w:t>Mtata, “Child Theology and the African Context.”</w:t>
      </w:r>
    </w:p>
  </w:footnote>
  <w:footnote w:id="13">
    <w:p w14:paraId="228EDDAB" w14:textId="1BC2B45D" w:rsidR="00F27044" w:rsidRPr="008F4348" w:rsidRDefault="00F27044" w:rsidP="006C2C79">
      <w:pPr>
        <w:spacing w:after="0" w:line="240" w:lineRule="auto"/>
        <w:rPr>
          <w:rFonts w:ascii="Book Antiqua" w:eastAsia="Calibri" w:hAnsi="Book Antiqua"/>
          <w:sz w:val="20"/>
          <w:szCs w:val="20"/>
        </w:rPr>
      </w:pPr>
      <w:r w:rsidRPr="00CD252A">
        <w:rPr>
          <w:rStyle w:val="FootnoteReference"/>
          <w:rFonts w:ascii="Book Antiqua" w:hAnsi="Book Antiqua"/>
          <w:sz w:val="20"/>
          <w:szCs w:val="20"/>
        </w:rPr>
        <w:footnoteRef/>
      </w:r>
      <w:r w:rsidRPr="00CD252A">
        <w:rPr>
          <w:rFonts w:ascii="Book Antiqua" w:hAnsi="Book Antiqua"/>
          <w:sz w:val="20"/>
          <w:szCs w:val="20"/>
        </w:rPr>
        <w:t xml:space="preserve"> </w:t>
      </w:r>
      <w:r w:rsidRPr="00CD252A">
        <w:rPr>
          <w:rFonts w:ascii="Book Antiqua" w:eastAsia="Calibri" w:hAnsi="Book Antiqua"/>
          <w:sz w:val="20"/>
          <w:szCs w:val="20"/>
        </w:rPr>
        <w:t>Mtata, “Child Theology and the African Context.”</w:t>
      </w:r>
    </w:p>
  </w:footnote>
  <w:footnote w:id="14">
    <w:p w14:paraId="1ECE184B" w14:textId="2FA05ED5" w:rsidR="00F27044" w:rsidRPr="008F4348" w:rsidRDefault="00F27044" w:rsidP="00FA3ABC">
      <w:pPr>
        <w:spacing w:after="0" w:line="240" w:lineRule="auto"/>
        <w:rPr>
          <w:rFonts w:ascii="Book Antiqua" w:eastAsia="Calibri" w:hAnsi="Book Antiqua"/>
          <w:sz w:val="20"/>
          <w:szCs w:val="20"/>
        </w:rPr>
      </w:pPr>
      <w:r w:rsidRPr="00A1238B">
        <w:rPr>
          <w:rStyle w:val="FootnoteReference"/>
          <w:rFonts w:ascii="Book Antiqua" w:hAnsi="Book Antiqua"/>
          <w:sz w:val="20"/>
          <w:szCs w:val="20"/>
        </w:rPr>
        <w:footnoteRef/>
      </w:r>
      <w:r w:rsidRPr="00A1238B">
        <w:rPr>
          <w:rFonts w:ascii="Book Antiqua" w:hAnsi="Book Antiqua"/>
          <w:sz w:val="20"/>
          <w:szCs w:val="20"/>
        </w:rPr>
        <w:t xml:space="preserve"> </w:t>
      </w:r>
      <w:r w:rsidRPr="00A1238B">
        <w:rPr>
          <w:rFonts w:ascii="Book Antiqua" w:eastAsia="Calibri" w:hAnsi="Book Antiqua"/>
          <w:sz w:val="20"/>
          <w:szCs w:val="20"/>
        </w:rPr>
        <w:t>Mtata, “Child Theology and the African Context.”</w:t>
      </w:r>
    </w:p>
  </w:footnote>
  <w:footnote w:id="15">
    <w:p w14:paraId="70CCDEAE" w14:textId="34843489" w:rsidR="00F27044" w:rsidRPr="008F4348" w:rsidRDefault="00F27044" w:rsidP="006C2C79">
      <w:pPr>
        <w:spacing w:after="0" w:line="240" w:lineRule="auto"/>
        <w:jc w:val="both"/>
        <w:rPr>
          <w:rFonts w:ascii="Book Antiqua" w:eastAsia="Calibri" w:hAnsi="Book Antiqua"/>
          <w:sz w:val="20"/>
          <w:szCs w:val="20"/>
        </w:rPr>
      </w:pPr>
      <w:r w:rsidRPr="008F4348">
        <w:rPr>
          <w:rStyle w:val="FootnoteReference"/>
          <w:rFonts w:ascii="Book Antiqua" w:hAnsi="Book Antiqua"/>
          <w:sz w:val="20"/>
          <w:szCs w:val="20"/>
        </w:rPr>
        <w:footnoteRef/>
      </w:r>
      <w:r w:rsidRPr="008F4348">
        <w:rPr>
          <w:rFonts w:ascii="Book Antiqua" w:hAnsi="Book Antiqua"/>
          <w:sz w:val="20"/>
          <w:szCs w:val="20"/>
        </w:rPr>
        <w:t xml:space="preserve"> </w:t>
      </w:r>
      <w:r w:rsidRPr="008F4348">
        <w:rPr>
          <w:rFonts w:ascii="Book Antiqua" w:eastAsia="Calibri" w:hAnsi="Book Antiqua"/>
          <w:sz w:val="20"/>
          <w:szCs w:val="20"/>
        </w:rPr>
        <w:t xml:space="preserve">Denise M. Ackermann, “A Voice Was Heard in Ramah: A Feminist Theology of Praxis for Healing in South Africa,” in </w:t>
      </w:r>
      <w:r w:rsidRPr="008F4348">
        <w:rPr>
          <w:rFonts w:ascii="Book Antiqua" w:eastAsia="Calibri" w:hAnsi="Book Antiqua"/>
          <w:i/>
          <w:iCs/>
          <w:sz w:val="20"/>
          <w:szCs w:val="20"/>
        </w:rPr>
        <w:t>Claiming Our Footprints: South African Women Reflect on Context, Identity and Spirituality</w:t>
      </w:r>
      <w:r w:rsidRPr="008F4348">
        <w:rPr>
          <w:rFonts w:ascii="Book Antiqua" w:eastAsia="Calibri" w:hAnsi="Book Antiqua"/>
          <w:sz w:val="20"/>
          <w:szCs w:val="20"/>
        </w:rPr>
        <w:t>, ed. Denise M. Ackermann, Elna Mouton, and Riet Bons-Storm (Stellenbosch: EFSA, 1998).</w:t>
      </w:r>
    </w:p>
  </w:footnote>
  <w:footnote w:id="16">
    <w:p w14:paraId="60425531" w14:textId="6D72E7A4" w:rsidR="00F27044" w:rsidRPr="008F4348" w:rsidRDefault="00F27044" w:rsidP="006C2C79">
      <w:pPr>
        <w:spacing w:after="0" w:line="240" w:lineRule="auto"/>
        <w:jc w:val="both"/>
        <w:rPr>
          <w:rFonts w:ascii="Book Antiqua" w:eastAsia="Calibri" w:hAnsi="Book Antiqua"/>
          <w:sz w:val="20"/>
          <w:szCs w:val="20"/>
        </w:rPr>
      </w:pPr>
      <w:r w:rsidRPr="008F4348">
        <w:rPr>
          <w:rStyle w:val="FootnoteReference"/>
          <w:rFonts w:ascii="Book Antiqua" w:hAnsi="Book Antiqua"/>
          <w:sz w:val="20"/>
          <w:szCs w:val="20"/>
        </w:rPr>
        <w:footnoteRef/>
      </w:r>
      <w:r w:rsidR="00233729" w:rsidRPr="008F4348">
        <w:rPr>
          <w:rFonts w:ascii="Book Antiqua" w:eastAsia="Calibri" w:hAnsi="Book Antiqua"/>
          <w:sz w:val="20"/>
          <w:szCs w:val="20"/>
        </w:rPr>
        <w:t xml:space="preserve"> Lovemore Mbigi and Jenny Maree</w:t>
      </w:r>
      <w:r w:rsidRPr="008F4348">
        <w:rPr>
          <w:rFonts w:ascii="Book Antiqua" w:eastAsia="Calibri" w:hAnsi="Book Antiqua"/>
          <w:sz w:val="20"/>
          <w:szCs w:val="20"/>
        </w:rPr>
        <w:t xml:space="preserve">, </w:t>
      </w:r>
      <w:r w:rsidRPr="008F4348">
        <w:rPr>
          <w:rFonts w:ascii="Book Antiqua" w:eastAsia="Calibri" w:hAnsi="Book Antiqua"/>
          <w:i/>
          <w:iCs/>
          <w:sz w:val="20"/>
          <w:szCs w:val="20"/>
        </w:rPr>
        <w:t>Ubuntu: The Spirit of African Transformation Management</w:t>
      </w:r>
      <w:r w:rsidRPr="008F4348">
        <w:rPr>
          <w:rFonts w:ascii="Book Antiqua" w:eastAsia="Calibri" w:hAnsi="Book Antiqua"/>
          <w:sz w:val="20"/>
          <w:szCs w:val="20"/>
        </w:rPr>
        <w:t xml:space="preserve"> (Randburg: Knowledge Resources, 1995), xiii–xv.</w:t>
      </w:r>
    </w:p>
  </w:footnote>
  <w:footnote w:id="17">
    <w:p w14:paraId="7D2F06F6" w14:textId="60778B79" w:rsidR="00F27044" w:rsidRPr="008F4348" w:rsidRDefault="00F27044" w:rsidP="006C2C79">
      <w:pPr>
        <w:spacing w:after="0" w:line="240" w:lineRule="auto"/>
        <w:jc w:val="both"/>
        <w:rPr>
          <w:rFonts w:ascii="Book Antiqua" w:eastAsia="Calibri" w:hAnsi="Book Antiqua"/>
          <w:sz w:val="20"/>
          <w:szCs w:val="20"/>
        </w:rPr>
      </w:pPr>
      <w:r w:rsidRPr="008F4348">
        <w:rPr>
          <w:rStyle w:val="FootnoteReference"/>
          <w:rFonts w:ascii="Book Antiqua" w:hAnsi="Book Antiqua"/>
          <w:sz w:val="20"/>
          <w:szCs w:val="20"/>
        </w:rPr>
        <w:footnoteRef/>
      </w:r>
      <w:r w:rsidRPr="008F4348">
        <w:rPr>
          <w:rFonts w:ascii="Book Antiqua" w:hAnsi="Book Antiqua"/>
          <w:sz w:val="20"/>
          <w:szCs w:val="20"/>
        </w:rPr>
        <w:t xml:space="preserve"> </w:t>
      </w:r>
      <w:r w:rsidRPr="008F4348">
        <w:rPr>
          <w:rFonts w:ascii="Book Antiqua" w:eastAsia="Calibri" w:hAnsi="Book Antiqua"/>
          <w:sz w:val="20"/>
          <w:szCs w:val="20"/>
        </w:rPr>
        <w:t xml:space="preserve">Catherine Mowry LaCugna, </w:t>
      </w:r>
      <w:r w:rsidRPr="008F4348">
        <w:rPr>
          <w:rFonts w:ascii="Book Antiqua" w:eastAsia="Calibri" w:hAnsi="Book Antiqua"/>
          <w:i/>
          <w:iCs/>
          <w:sz w:val="20"/>
          <w:szCs w:val="20"/>
        </w:rPr>
        <w:t>God for Us: The Trinity and Christian Life</w:t>
      </w:r>
      <w:r w:rsidRPr="008F4348">
        <w:rPr>
          <w:rFonts w:ascii="Book Antiqua" w:eastAsia="Calibri" w:hAnsi="Book Antiqua"/>
          <w:sz w:val="20"/>
          <w:szCs w:val="20"/>
        </w:rPr>
        <w:t xml:space="preserve"> (San Francisco</w:t>
      </w:r>
      <w:r w:rsidR="00D433A9">
        <w:rPr>
          <w:rFonts w:ascii="Book Antiqua" w:eastAsia="Calibri" w:hAnsi="Book Antiqua"/>
          <w:sz w:val="20"/>
          <w:szCs w:val="20"/>
        </w:rPr>
        <w:t>, CA</w:t>
      </w:r>
      <w:r w:rsidRPr="008F4348">
        <w:rPr>
          <w:rFonts w:ascii="Book Antiqua" w:eastAsia="Calibri" w:hAnsi="Book Antiqua"/>
          <w:sz w:val="20"/>
          <w:szCs w:val="20"/>
        </w:rPr>
        <w:t>: HarperSanFrancisco, 1991).</w:t>
      </w:r>
    </w:p>
  </w:footnote>
  <w:footnote w:id="18">
    <w:p w14:paraId="1189C13F" w14:textId="03CDE499" w:rsidR="00F27044" w:rsidRPr="008F4348" w:rsidRDefault="00F27044" w:rsidP="006C2C79">
      <w:pPr>
        <w:spacing w:after="0" w:line="240" w:lineRule="auto"/>
        <w:jc w:val="both"/>
        <w:rPr>
          <w:rFonts w:ascii="Book Antiqua" w:eastAsia="Calibri" w:hAnsi="Book Antiqua"/>
          <w:sz w:val="20"/>
          <w:szCs w:val="20"/>
        </w:rPr>
      </w:pPr>
      <w:r w:rsidRPr="008F4348">
        <w:rPr>
          <w:rStyle w:val="FootnoteReference"/>
          <w:rFonts w:ascii="Book Antiqua" w:hAnsi="Book Antiqua"/>
          <w:sz w:val="20"/>
          <w:szCs w:val="20"/>
        </w:rPr>
        <w:footnoteRef/>
      </w:r>
      <w:r w:rsidRPr="008F4348">
        <w:rPr>
          <w:rFonts w:ascii="Book Antiqua" w:hAnsi="Book Antiqua"/>
          <w:sz w:val="20"/>
          <w:szCs w:val="20"/>
        </w:rPr>
        <w:t xml:space="preserve"> </w:t>
      </w:r>
      <w:r w:rsidRPr="008F4348">
        <w:rPr>
          <w:rFonts w:ascii="Book Antiqua" w:eastAsia="Calibri" w:hAnsi="Book Antiqua"/>
          <w:sz w:val="20"/>
          <w:szCs w:val="20"/>
        </w:rPr>
        <w:t xml:space="preserve">Kathryn Tanner, </w:t>
      </w:r>
      <w:r w:rsidRPr="008F4348">
        <w:rPr>
          <w:rFonts w:ascii="Book Antiqua" w:eastAsia="Calibri" w:hAnsi="Book Antiqua"/>
          <w:i/>
          <w:iCs/>
          <w:sz w:val="20"/>
          <w:szCs w:val="20"/>
        </w:rPr>
        <w:t>Christ the Key</w:t>
      </w:r>
      <w:r w:rsidRPr="008F4348">
        <w:rPr>
          <w:rFonts w:ascii="Book Antiqua" w:eastAsia="Calibri" w:hAnsi="Book Antiqua"/>
          <w:sz w:val="20"/>
          <w:szCs w:val="20"/>
        </w:rPr>
        <w:t xml:space="preserve"> (Cambridge: Cambridge University Press, 2010).</w:t>
      </w:r>
    </w:p>
  </w:footnote>
  <w:footnote w:id="19">
    <w:p w14:paraId="082C7CDD" w14:textId="10C43DAC" w:rsidR="00F27044" w:rsidRPr="008F4348" w:rsidRDefault="00F27044" w:rsidP="000C1A27">
      <w:pPr>
        <w:spacing w:after="0" w:line="240" w:lineRule="auto"/>
        <w:jc w:val="both"/>
        <w:rPr>
          <w:rFonts w:ascii="Book Antiqua" w:eastAsia="Calibri" w:hAnsi="Book Antiqua"/>
          <w:sz w:val="20"/>
          <w:szCs w:val="20"/>
        </w:rPr>
      </w:pPr>
      <w:r w:rsidRPr="008F4348">
        <w:rPr>
          <w:rStyle w:val="FootnoteReference"/>
          <w:rFonts w:ascii="Book Antiqua" w:hAnsi="Book Antiqua"/>
          <w:sz w:val="20"/>
          <w:szCs w:val="20"/>
        </w:rPr>
        <w:footnoteRef/>
      </w:r>
      <w:r w:rsidRPr="008F4348">
        <w:rPr>
          <w:rFonts w:ascii="Book Antiqua" w:hAnsi="Book Antiqua"/>
          <w:sz w:val="20"/>
          <w:szCs w:val="20"/>
        </w:rPr>
        <w:t xml:space="preserve"> </w:t>
      </w:r>
      <w:r w:rsidRPr="008F4348">
        <w:rPr>
          <w:rFonts w:ascii="Book Antiqua" w:eastAsia="Calibri" w:hAnsi="Book Antiqua"/>
          <w:sz w:val="20"/>
          <w:szCs w:val="20"/>
        </w:rPr>
        <w:t xml:space="preserve">Rian Venter, “Trinity and Ethics: An Overview of a Recent Debate,” in </w:t>
      </w:r>
      <w:r w:rsidRPr="008F4348">
        <w:rPr>
          <w:rFonts w:ascii="Book Antiqua" w:eastAsia="Calibri" w:hAnsi="Book Antiqua"/>
          <w:i/>
          <w:iCs/>
          <w:sz w:val="20"/>
          <w:szCs w:val="20"/>
        </w:rPr>
        <w:t>Trinity, Doxology, and Community</w:t>
      </w:r>
      <w:r w:rsidRPr="008F4348">
        <w:rPr>
          <w:rFonts w:ascii="Book Antiqua" w:eastAsia="Calibri" w:hAnsi="Book Antiqua"/>
          <w:sz w:val="20"/>
          <w:szCs w:val="20"/>
        </w:rPr>
        <w:t>, ed. Rian Venter (Bloemfontein: Sun Press, 2012).</w:t>
      </w:r>
    </w:p>
  </w:footnote>
  <w:footnote w:id="20">
    <w:p w14:paraId="19F82BC4" w14:textId="515675DB" w:rsidR="008B2606" w:rsidRPr="008F4348" w:rsidRDefault="008B2606" w:rsidP="006C2C79">
      <w:pPr>
        <w:spacing w:after="0" w:line="240" w:lineRule="auto"/>
        <w:jc w:val="both"/>
        <w:rPr>
          <w:rFonts w:ascii="Book Antiqua" w:eastAsia="Calibri" w:hAnsi="Book Antiqua"/>
          <w:sz w:val="20"/>
          <w:szCs w:val="20"/>
        </w:rPr>
      </w:pPr>
      <w:r w:rsidRPr="008F4348">
        <w:rPr>
          <w:rStyle w:val="FootnoteReference"/>
          <w:rFonts w:ascii="Book Antiqua" w:hAnsi="Book Antiqua"/>
          <w:sz w:val="20"/>
          <w:szCs w:val="20"/>
        </w:rPr>
        <w:footnoteRef/>
      </w:r>
      <w:r w:rsidRPr="008F4348">
        <w:rPr>
          <w:rFonts w:ascii="Book Antiqua" w:hAnsi="Book Antiqua"/>
          <w:sz w:val="20"/>
          <w:szCs w:val="20"/>
        </w:rPr>
        <w:t xml:space="preserve"> </w:t>
      </w:r>
      <w:r w:rsidRPr="008F4348">
        <w:rPr>
          <w:rFonts w:ascii="Book Antiqua" w:eastAsia="Calibri" w:hAnsi="Book Antiqua"/>
          <w:sz w:val="20"/>
          <w:szCs w:val="20"/>
        </w:rPr>
        <w:t xml:space="preserve">LaCugna, </w:t>
      </w:r>
      <w:r w:rsidRPr="008F4348">
        <w:rPr>
          <w:rFonts w:ascii="Book Antiqua" w:eastAsia="Calibri" w:hAnsi="Book Antiqua"/>
          <w:i/>
          <w:iCs/>
          <w:sz w:val="20"/>
          <w:szCs w:val="20"/>
        </w:rPr>
        <w:t>God for U</w:t>
      </w:r>
      <w:r w:rsidR="00D433A9">
        <w:rPr>
          <w:rFonts w:ascii="Book Antiqua" w:eastAsia="Calibri" w:hAnsi="Book Antiqua"/>
          <w:i/>
          <w:iCs/>
          <w:sz w:val="20"/>
          <w:szCs w:val="20"/>
        </w:rPr>
        <w:t>s</w:t>
      </w:r>
      <w:r w:rsidRPr="008F4348">
        <w:rPr>
          <w:rFonts w:ascii="Book Antiqua" w:eastAsia="Calibri" w:hAnsi="Book Antiqua"/>
          <w:sz w:val="20"/>
          <w:szCs w:val="20"/>
        </w:rPr>
        <w:t>.</w:t>
      </w:r>
    </w:p>
  </w:footnote>
  <w:footnote w:id="21">
    <w:p w14:paraId="121DBB35" w14:textId="52A43573" w:rsidR="00ED472E" w:rsidRPr="008F4348" w:rsidRDefault="00ED472E" w:rsidP="006C2C79">
      <w:pPr>
        <w:spacing w:after="0" w:line="240" w:lineRule="auto"/>
        <w:jc w:val="both"/>
        <w:rPr>
          <w:rFonts w:ascii="Book Antiqua" w:eastAsia="Calibri" w:hAnsi="Book Antiqua"/>
          <w:sz w:val="20"/>
          <w:szCs w:val="20"/>
        </w:rPr>
      </w:pPr>
      <w:r w:rsidRPr="008F4348">
        <w:rPr>
          <w:rStyle w:val="FootnoteReference"/>
          <w:rFonts w:ascii="Book Antiqua" w:hAnsi="Book Antiqua"/>
          <w:sz w:val="20"/>
          <w:szCs w:val="20"/>
        </w:rPr>
        <w:footnoteRef/>
      </w:r>
      <w:r w:rsidRPr="008F4348">
        <w:rPr>
          <w:rFonts w:ascii="Book Antiqua" w:hAnsi="Book Antiqua"/>
          <w:sz w:val="20"/>
          <w:szCs w:val="20"/>
        </w:rPr>
        <w:t xml:space="preserve"> </w:t>
      </w:r>
      <w:r w:rsidRPr="008F4348">
        <w:rPr>
          <w:rFonts w:ascii="Book Antiqua" w:eastAsia="Calibri" w:hAnsi="Book Antiqua"/>
          <w:sz w:val="20"/>
          <w:szCs w:val="20"/>
        </w:rPr>
        <w:t xml:space="preserve">Miroslav Volf, </w:t>
      </w:r>
      <w:r w:rsidRPr="008F4348">
        <w:rPr>
          <w:rFonts w:ascii="Book Antiqua" w:eastAsia="Calibri" w:hAnsi="Book Antiqua"/>
          <w:i/>
          <w:iCs/>
          <w:sz w:val="20"/>
          <w:szCs w:val="20"/>
        </w:rPr>
        <w:t>After Our Likeness: The Church as the Image of the Trinity</w:t>
      </w:r>
      <w:r w:rsidRPr="008F4348">
        <w:rPr>
          <w:rFonts w:ascii="Book Antiqua" w:eastAsia="Calibri" w:hAnsi="Book Antiqua"/>
          <w:sz w:val="20"/>
          <w:szCs w:val="20"/>
        </w:rPr>
        <w:t xml:space="preserve"> (Grand Rapids, MI: Eerdmans, 1998).</w:t>
      </w:r>
    </w:p>
  </w:footnote>
  <w:footnote w:id="22">
    <w:p w14:paraId="60A23827" w14:textId="00A3526D" w:rsidR="00ED472E" w:rsidRPr="008F4348" w:rsidRDefault="00ED472E" w:rsidP="006C2C79">
      <w:pPr>
        <w:spacing w:after="0" w:line="240" w:lineRule="auto"/>
        <w:jc w:val="both"/>
        <w:rPr>
          <w:rFonts w:ascii="Book Antiqua" w:eastAsia="Calibri" w:hAnsi="Book Antiqua"/>
          <w:sz w:val="20"/>
          <w:szCs w:val="20"/>
        </w:rPr>
      </w:pPr>
      <w:r w:rsidRPr="008F4348">
        <w:rPr>
          <w:rStyle w:val="FootnoteReference"/>
          <w:rFonts w:ascii="Book Antiqua" w:hAnsi="Book Antiqua"/>
          <w:sz w:val="20"/>
          <w:szCs w:val="20"/>
        </w:rPr>
        <w:footnoteRef/>
      </w:r>
      <w:r w:rsidRPr="008F4348">
        <w:rPr>
          <w:rFonts w:ascii="Book Antiqua" w:hAnsi="Book Antiqua"/>
          <w:sz w:val="20"/>
          <w:szCs w:val="20"/>
        </w:rPr>
        <w:t xml:space="preserve"> </w:t>
      </w:r>
      <w:r w:rsidRPr="008F4348">
        <w:rPr>
          <w:rFonts w:ascii="Book Antiqua" w:eastAsia="Calibri" w:hAnsi="Book Antiqua"/>
          <w:sz w:val="20"/>
          <w:szCs w:val="20"/>
        </w:rPr>
        <w:t xml:space="preserve">John D. Zizioulas, </w:t>
      </w:r>
      <w:r w:rsidRPr="008F4348">
        <w:rPr>
          <w:rFonts w:ascii="Book Antiqua" w:eastAsia="Calibri" w:hAnsi="Book Antiqua"/>
          <w:i/>
          <w:iCs/>
          <w:sz w:val="20"/>
          <w:szCs w:val="20"/>
        </w:rPr>
        <w:t>Being as Communion: Studies in Personhood and the Church</w:t>
      </w:r>
      <w:r w:rsidRPr="008F4348">
        <w:rPr>
          <w:rFonts w:ascii="Book Antiqua" w:eastAsia="Calibri" w:hAnsi="Book Antiqua"/>
          <w:sz w:val="20"/>
          <w:szCs w:val="20"/>
        </w:rPr>
        <w:t xml:space="preserve"> (Crestwood, NY: St. Vladimir’s Seminary Press, 1985).</w:t>
      </w:r>
    </w:p>
  </w:footnote>
  <w:footnote w:id="23">
    <w:p w14:paraId="4684C2C5" w14:textId="60531AD3" w:rsidR="00ED472E" w:rsidRPr="008F4348" w:rsidRDefault="00ED472E" w:rsidP="00CB09F6">
      <w:pPr>
        <w:spacing w:after="0" w:line="240" w:lineRule="auto"/>
        <w:jc w:val="both"/>
        <w:rPr>
          <w:rFonts w:ascii="Book Antiqua" w:eastAsia="Calibri" w:hAnsi="Book Antiqua"/>
          <w:sz w:val="20"/>
          <w:szCs w:val="20"/>
        </w:rPr>
      </w:pPr>
      <w:r w:rsidRPr="008F4348">
        <w:rPr>
          <w:rStyle w:val="FootnoteReference"/>
          <w:rFonts w:ascii="Book Antiqua" w:hAnsi="Book Antiqua"/>
          <w:sz w:val="20"/>
          <w:szCs w:val="20"/>
        </w:rPr>
        <w:footnoteRef/>
      </w:r>
      <w:r w:rsidRPr="008F4348">
        <w:rPr>
          <w:rFonts w:ascii="Book Antiqua" w:hAnsi="Book Antiqua"/>
          <w:sz w:val="20"/>
          <w:szCs w:val="20"/>
        </w:rPr>
        <w:t xml:space="preserve"> </w:t>
      </w:r>
      <w:r w:rsidRPr="008F4348">
        <w:rPr>
          <w:rFonts w:ascii="Book Antiqua" w:eastAsia="Calibri" w:hAnsi="Book Antiqua"/>
          <w:sz w:val="20"/>
          <w:szCs w:val="20"/>
        </w:rPr>
        <w:t xml:space="preserve">Volf, </w:t>
      </w:r>
      <w:r w:rsidRPr="008F4348">
        <w:rPr>
          <w:rFonts w:ascii="Book Antiqua" w:eastAsia="Calibri" w:hAnsi="Book Antiqua"/>
          <w:i/>
          <w:iCs/>
          <w:sz w:val="20"/>
          <w:szCs w:val="20"/>
        </w:rPr>
        <w:t>After Our Likeness</w:t>
      </w:r>
      <w:r w:rsidRPr="008F4348">
        <w:rPr>
          <w:rFonts w:ascii="Book Antiqua" w:eastAsia="Calibri" w:hAnsi="Book Antiqua"/>
          <w:sz w:val="20"/>
          <w:szCs w:val="20"/>
        </w:rPr>
        <w:t>.</w:t>
      </w:r>
    </w:p>
  </w:footnote>
  <w:footnote w:id="24">
    <w:p w14:paraId="30148F9A" w14:textId="0D6B30D4" w:rsidR="00ED472E" w:rsidRPr="008F4348" w:rsidRDefault="00ED472E" w:rsidP="006C2C79">
      <w:pPr>
        <w:spacing w:after="0" w:line="240" w:lineRule="auto"/>
        <w:jc w:val="both"/>
        <w:rPr>
          <w:rFonts w:ascii="Book Antiqua" w:eastAsia="Calibri" w:hAnsi="Book Antiqua"/>
          <w:sz w:val="20"/>
          <w:szCs w:val="20"/>
        </w:rPr>
      </w:pPr>
      <w:r w:rsidRPr="008F4348">
        <w:rPr>
          <w:rStyle w:val="FootnoteReference"/>
          <w:rFonts w:ascii="Book Antiqua" w:hAnsi="Book Antiqua"/>
          <w:sz w:val="20"/>
          <w:szCs w:val="20"/>
        </w:rPr>
        <w:footnoteRef/>
      </w:r>
      <w:r w:rsidRPr="008F4348">
        <w:rPr>
          <w:rFonts w:ascii="Book Antiqua" w:hAnsi="Book Antiqua"/>
          <w:sz w:val="20"/>
          <w:szCs w:val="20"/>
        </w:rPr>
        <w:t xml:space="preserve"> </w:t>
      </w:r>
      <w:r w:rsidRPr="008F4348">
        <w:rPr>
          <w:rFonts w:ascii="Book Antiqua" w:eastAsia="Calibri" w:hAnsi="Book Antiqua"/>
          <w:sz w:val="20"/>
          <w:szCs w:val="20"/>
        </w:rPr>
        <w:t xml:space="preserve">Bonnie J. Miller-McLemore, “Practical Theology and Pedagogy: Embodying Theological Know-How,” in </w:t>
      </w:r>
      <w:r w:rsidRPr="008F4348">
        <w:rPr>
          <w:rFonts w:ascii="Book Antiqua" w:eastAsia="Calibri" w:hAnsi="Book Antiqua"/>
          <w:i/>
          <w:iCs/>
          <w:sz w:val="20"/>
          <w:szCs w:val="20"/>
        </w:rPr>
        <w:t>For Life Abundant: Practical Theology, Theological Education, and Christian Ministry</w:t>
      </w:r>
      <w:r w:rsidRPr="008F4348">
        <w:rPr>
          <w:rFonts w:ascii="Book Antiqua" w:eastAsia="Calibri" w:hAnsi="Book Antiqua"/>
          <w:sz w:val="20"/>
          <w:szCs w:val="20"/>
        </w:rPr>
        <w:t>, ed. Dorothy C. Bass and Craig Dykstra (Grand Rapids, MI: Eerdmans, 2012).</w:t>
      </w:r>
    </w:p>
  </w:footnote>
  <w:footnote w:id="25">
    <w:p w14:paraId="53400C24" w14:textId="5D399645" w:rsidR="00ED472E" w:rsidRPr="008F4348" w:rsidRDefault="00ED472E" w:rsidP="006C2C79">
      <w:pPr>
        <w:spacing w:after="0" w:line="240" w:lineRule="auto"/>
        <w:jc w:val="both"/>
        <w:rPr>
          <w:rFonts w:ascii="Book Antiqua" w:eastAsia="Calibri" w:hAnsi="Book Antiqua"/>
          <w:sz w:val="20"/>
          <w:szCs w:val="20"/>
        </w:rPr>
      </w:pPr>
      <w:r w:rsidRPr="008F4348">
        <w:rPr>
          <w:rStyle w:val="FootnoteReference"/>
          <w:rFonts w:ascii="Book Antiqua" w:hAnsi="Book Antiqua"/>
          <w:sz w:val="20"/>
          <w:szCs w:val="20"/>
        </w:rPr>
        <w:footnoteRef/>
      </w:r>
      <w:r w:rsidRPr="008F4348">
        <w:rPr>
          <w:rFonts w:ascii="Book Antiqua" w:hAnsi="Book Antiqua"/>
          <w:sz w:val="20"/>
          <w:szCs w:val="20"/>
        </w:rPr>
        <w:t xml:space="preserve"> </w:t>
      </w:r>
      <w:r w:rsidRPr="008F4348">
        <w:rPr>
          <w:rFonts w:ascii="Book Antiqua" w:eastAsia="Calibri" w:hAnsi="Book Antiqua"/>
          <w:sz w:val="20"/>
          <w:szCs w:val="20"/>
        </w:rPr>
        <w:t>Teddy C. Sakupapa, “</w:t>
      </w:r>
      <w:r w:rsidR="00A97BE6" w:rsidRPr="008F4348">
        <w:rPr>
          <w:rFonts w:ascii="Book Antiqua" w:eastAsia="Calibri" w:hAnsi="Book Antiqua"/>
          <w:sz w:val="20"/>
          <w:szCs w:val="20"/>
        </w:rPr>
        <w:t xml:space="preserve">The Trinity in African Christian </w:t>
      </w:r>
      <w:r w:rsidR="007802E5" w:rsidRPr="008F4348">
        <w:rPr>
          <w:rFonts w:ascii="Book Antiqua" w:eastAsia="Calibri" w:hAnsi="Book Antiqua"/>
          <w:sz w:val="20"/>
          <w:szCs w:val="20"/>
        </w:rPr>
        <w:t>T</w:t>
      </w:r>
      <w:r w:rsidR="00A97BE6" w:rsidRPr="008F4348">
        <w:rPr>
          <w:rFonts w:ascii="Book Antiqua" w:eastAsia="Calibri" w:hAnsi="Book Antiqua"/>
          <w:sz w:val="20"/>
          <w:szCs w:val="20"/>
        </w:rPr>
        <w:t xml:space="preserve">heology: An </w:t>
      </w:r>
      <w:r w:rsidR="007802E5" w:rsidRPr="008F4348">
        <w:rPr>
          <w:rFonts w:ascii="Book Antiqua" w:eastAsia="Calibri" w:hAnsi="Book Antiqua"/>
          <w:sz w:val="20"/>
          <w:szCs w:val="20"/>
        </w:rPr>
        <w:t>O</w:t>
      </w:r>
      <w:r w:rsidR="00A97BE6" w:rsidRPr="008F4348">
        <w:rPr>
          <w:rFonts w:ascii="Book Antiqua" w:eastAsia="Calibri" w:hAnsi="Book Antiqua"/>
          <w:sz w:val="20"/>
          <w:szCs w:val="20"/>
        </w:rPr>
        <w:t xml:space="preserve">verview of </w:t>
      </w:r>
      <w:r w:rsidR="007802E5" w:rsidRPr="008F4348">
        <w:rPr>
          <w:rFonts w:ascii="Book Antiqua" w:eastAsia="Calibri" w:hAnsi="Book Antiqua"/>
          <w:sz w:val="20"/>
          <w:szCs w:val="20"/>
        </w:rPr>
        <w:t>C</w:t>
      </w:r>
      <w:r w:rsidR="00A97BE6" w:rsidRPr="008F4348">
        <w:rPr>
          <w:rFonts w:ascii="Book Antiqua" w:eastAsia="Calibri" w:hAnsi="Book Antiqua"/>
          <w:sz w:val="20"/>
          <w:szCs w:val="20"/>
        </w:rPr>
        <w:t xml:space="preserve">ontemporary </w:t>
      </w:r>
      <w:r w:rsidR="007802E5" w:rsidRPr="008F4348">
        <w:rPr>
          <w:rFonts w:ascii="Book Antiqua" w:eastAsia="Calibri" w:hAnsi="Book Antiqua"/>
          <w:sz w:val="20"/>
          <w:szCs w:val="20"/>
        </w:rPr>
        <w:t>A</w:t>
      </w:r>
      <w:r w:rsidR="00A97BE6" w:rsidRPr="008F4348">
        <w:rPr>
          <w:rFonts w:ascii="Book Antiqua" w:eastAsia="Calibri" w:hAnsi="Book Antiqua"/>
          <w:sz w:val="20"/>
          <w:szCs w:val="20"/>
        </w:rPr>
        <w:t xml:space="preserve">pproaches,” </w:t>
      </w:r>
      <w:r w:rsidR="00A97BE6" w:rsidRPr="008F4348">
        <w:rPr>
          <w:rFonts w:ascii="Book Antiqua" w:eastAsia="Calibri" w:hAnsi="Book Antiqua"/>
          <w:i/>
          <w:iCs/>
          <w:sz w:val="20"/>
          <w:szCs w:val="20"/>
        </w:rPr>
        <w:t>HTS Teologiese Studies/Theological Studies</w:t>
      </w:r>
      <w:r w:rsidR="00A97BE6" w:rsidRPr="008F4348">
        <w:rPr>
          <w:rFonts w:ascii="Book Antiqua" w:eastAsia="Calibri" w:hAnsi="Book Antiqua"/>
          <w:sz w:val="20"/>
          <w:szCs w:val="20"/>
        </w:rPr>
        <w:t xml:space="preserve"> 75 no. 1</w:t>
      </w:r>
      <w:r w:rsidR="001E291B" w:rsidRPr="008F4348">
        <w:rPr>
          <w:rFonts w:ascii="Book Antiqua" w:eastAsia="Calibri" w:hAnsi="Book Antiqua"/>
          <w:sz w:val="20"/>
          <w:szCs w:val="20"/>
        </w:rPr>
        <w:t xml:space="preserve"> (2019):</w:t>
      </w:r>
      <w:r w:rsidR="00A97BE6" w:rsidRPr="008F4348">
        <w:rPr>
          <w:rFonts w:ascii="Book Antiqua" w:eastAsia="Calibri" w:hAnsi="Book Antiqua"/>
          <w:sz w:val="20"/>
          <w:szCs w:val="20"/>
        </w:rPr>
        <w:t xml:space="preserve"> a5460, https://doi.org/10.4102/hts.v75i1.5460</w:t>
      </w:r>
      <w:r w:rsidRPr="008F4348">
        <w:rPr>
          <w:rFonts w:ascii="Book Antiqua" w:eastAsia="Calibri" w:hAnsi="Book Antiqua"/>
          <w:sz w:val="20"/>
          <w:szCs w:val="20"/>
        </w:rPr>
        <w:t>.</w:t>
      </w:r>
    </w:p>
  </w:footnote>
  <w:footnote w:id="26">
    <w:p w14:paraId="6396583F" w14:textId="40B25E18" w:rsidR="00ED472E" w:rsidRPr="008F4348" w:rsidRDefault="00ED472E" w:rsidP="006C2C79">
      <w:pPr>
        <w:spacing w:after="0" w:line="240" w:lineRule="auto"/>
        <w:rPr>
          <w:rFonts w:ascii="Book Antiqua" w:eastAsia="Calibri" w:hAnsi="Book Antiqua"/>
          <w:sz w:val="20"/>
          <w:szCs w:val="20"/>
        </w:rPr>
      </w:pPr>
      <w:r w:rsidRPr="008F4348">
        <w:rPr>
          <w:rStyle w:val="FootnoteReference"/>
          <w:rFonts w:ascii="Book Antiqua" w:hAnsi="Book Antiqua"/>
          <w:sz w:val="20"/>
          <w:szCs w:val="20"/>
        </w:rPr>
        <w:footnoteRef/>
      </w:r>
      <w:r w:rsidRPr="008F4348">
        <w:rPr>
          <w:rFonts w:ascii="Book Antiqua" w:hAnsi="Book Antiqua"/>
          <w:sz w:val="20"/>
          <w:szCs w:val="20"/>
        </w:rPr>
        <w:t xml:space="preserve"> </w:t>
      </w:r>
      <w:r w:rsidRPr="008F4348">
        <w:rPr>
          <w:rFonts w:ascii="Book Antiqua" w:eastAsia="Calibri" w:hAnsi="Book Antiqua"/>
          <w:sz w:val="20"/>
          <w:szCs w:val="20"/>
        </w:rPr>
        <w:t>Sakupapa, “</w:t>
      </w:r>
      <w:r w:rsidR="001E291B" w:rsidRPr="008F4348">
        <w:rPr>
          <w:rFonts w:ascii="Book Antiqua" w:eastAsia="Calibri" w:hAnsi="Book Antiqua"/>
          <w:sz w:val="20"/>
          <w:szCs w:val="20"/>
        </w:rPr>
        <w:t>The Trinity in African Christian Theology</w:t>
      </w:r>
      <w:r w:rsidRPr="008F4348">
        <w:rPr>
          <w:rFonts w:ascii="Book Antiqua" w:eastAsia="Calibri" w:hAnsi="Book Antiqua"/>
          <w:sz w:val="20"/>
          <w:szCs w:val="20"/>
        </w:rPr>
        <w:t>.”</w:t>
      </w:r>
    </w:p>
  </w:footnote>
  <w:footnote w:id="27">
    <w:p w14:paraId="2D625A6A" w14:textId="25EB50F1" w:rsidR="00ED472E" w:rsidRPr="008F4348" w:rsidRDefault="00ED472E" w:rsidP="006C2C79">
      <w:pPr>
        <w:spacing w:after="0" w:line="240" w:lineRule="auto"/>
        <w:jc w:val="both"/>
        <w:rPr>
          <w:rFonts w:ascii="Book Antiqua" w:eastAsia="Calibri" w:hAnsi="Book Antiqua"/>
          <w:sz w:val="20"/>
          <w:szCs w:val="20"/>
        </w:rPr>
      </w:pPr>
      <w:r w:rsidRPr="00861D19">
        <w:rPr>
          <w:rStyle w:val="FootnoteReference"/>
          <w:rFonts w:ascii="Book Antiqua" w:hAnsi="Book Antiqua"/>
          <w:sz w:val="20"/>
          <w:szCs w:val="20"/>
        </w:rPr>
        <w:footnoteRef/>
      </w:r>
      <w:r w:rsidRPr="00861D19">
        <w:rPr>
          <w:rFonts w:ascii="Book Antiqua" w:hAnsi="Book Antiqua"/>
          <w:sz w:val="20"/>
          <w:szCs w:val="20"/>
        </w:rPr>
        <w:t xml:space="preserve"> </w:t>
      </w:r>
      <w:r w:rsidRPr="00861D19">
        <w:rPr>
          <w:rFonts w:ascii="Book Antiqua" w:eastAsia="Calibri" w:hAnsi="Book Antiqua"/>
          <w:sz w:val="20"/>
          <w:szCs w:val="20"/>
        </w:rPr>
        <w:t xml:space="preserve">Ibrahim S. Bitrus, “The Trinity and Human Society: An African Perspective,” </w:t>
      </w:r>
      <w:r w:rsidRPr="00861D19">
        <w:rPr>
          <w:rFonts w:ascii="Book Antiqua" w:eastAsia="Calibri" w:hAnsi="Book Antiqua"/>
          <w:i/>
          <w:iCs/>
          <w:sz w:val="20"/>
          <w:szCs w:val="20"/>
        </w:rPr>
        <w:t>HTS Teologiese Studies/Theological Studies</w:t>
      </w:r>
      <w:r w:rsidRPr="00861D19">
        <w:rPr>
          <w:rFonts w:ascii="Book Antiqua" w:eastAsia="Calibri" w:hAnsi="Book Antiqua"/>
          <w:sz w:val="20"/>
          <w:szCs w:val="20"/>
        </w:rPr>
        <w:t xml:space="preserve"> 73, no. 3 (2017).</w:t>
      </w:r>
    </w:p>
  </w:footnote>
  <w:footnote w:id="28">
    <w:p w14:paraId="59C250AC" w14:textId="72C78ECB" w:rsidR="00ED472E" w:rsidRPr="008F4348" w:rsidRDefault="00ED472E" w:rsidP="006C2C79">
      <w:pPr>
        <w:spacing w:after="0" w:line="240" w:lineRule="auto"/>
        <w:jc w:val="both"/>
        <w:rPr>
          <w:rFonts w:ascii="Book Antiqua" w:eastAsia="Calibri" w:hAnsi="Book Antiqua"/>
          <w:sz w:val="20"/>
          <w:szCs w:val="20"/>
        </w:rPr>
      </w:pPr>
      <w:r w:rsidRPr="008F4348">
        <w:rPr>
          <w:rStyle w:val="FootnoteReference"/>
          <w:rFonts w:ascii="Book Antiqua" w:hAnsi="Book Antiqua"/>
          <w:sz w:val="20"/>
          <w:szCs w:val="20"/>
        </w:rPr>
        <w:footnoteRef/>
      </w:r>
      <w:r w:rsidRPr="008F4348">
        <w:rPr>
          <w:rFonts w:ascii="Book Antiqua" w:hAnsi="Book Antiqua"/>
          <w:sz w:val="20"/>
          <w:szCs w:val="20"/>
        </w:rPr>
        <w:t xml:space="preserve"> </w:t>
      </w:r>
      <w:r w:rsidRPr="008F4348">
        <w:rPr>
          <w:rFonts w:ascii="Book Antiqua" w:eastAsia="Calibri" w:hAnsi="Book Antiqua"/>
          <w:sz w:val="20"/>
          <w:szCs w:val="20"/>
        </w:rPr>
        <w:t xml:space="preserve">UNICEF, </w:t>
      </w:r>
      <w:r w:rsidRPr="008F4348">
        <w:rPr>
          <w:rFonts w:ascii="Book Antiqua" w:eastAsia="Calibri" w:hAnsi="Book Antiqua"/>
          <w:i/>
          <w:iCs/>
          <w:sz w:val="20"/>
          <w:szCs w:val="20"/>
        </w:rPr>
        <w:t>Situation Analysis of Children in Ghana</w:t>
      </w:r>
      <w:r w:rsidRPr="008F4348">
        <w:rPr>
          <w:rFonts w:ascii="Book Antiqua" w:eastAsia="Calibri" w:hAnsi="Book Antiqua"/>
          <w:sz w:val="20"/>
          <w:szCs w:val="20"/>
        </w:rPr>
        <w:t xml:space="preserve"> (Accra: UNICEF Ghana, 2018).</w:t>
      </w:r>
    </w:p>
  </w:footnote>
  <w:footnote w:id="29">
    <w:p w14:paraId="61F9C502" w14:textId="1530E391" w:rsidR="00033C69" w:rsidRPr="008F4348" w:rsidRDefault="00033C69" w:rsidP="00CD213C">
      <w:pPr>
        <w:spacing w:after="0" w:line="240" w:lineRule="auto"/>
        <w:jc w:val="both"/>
        <w:rPr>
          <w:rFonts w:ascii="Book Antiqua" w:eastAsia="Calibri" w:hAnsi="Book Antiqua"/>
          <w:sz w:val="20"/>
          <w:szCs w:val="20"/>
        </w:rPr>
      </w:pPr>
      <w:r w:rsidRPr="008F4348">
        <w:rPr>
          <w:rStyle w:val="FootnoteReference"/>
          <w:rFonts w:ascii="Book Antiqua" w:hAnsi="Book Antiqua"/>
          <w:sz w:val="20"/>
          <w:szCs w:val="20"/>
        </w:rPr>
        <w:footnoteRef/>
      </w:r>
      <w:r w:rsidRPr="008F4348">
        <w:rPr>
          <w:rFonts w:ascii="Book Antiqua" w:hAnsi="Book Antiqua"/>
          <w:sz w:val="20"/>
          <w:szCs w:val="20"/>
        </w:rPr>
        <w:t xml:space="preserve"> </w:t>
      </w:r>
      <w:r w:rsidRPr="008F4348">
        <w:rPr>
          <w:rFonts w:ascii="Book Antiqua" w:eastAsia="Calibri" w:hAnsi="Book Antiqua"/>
          <w:sz w:val="20"/>
          <w:szCs w:val="20"/>
        </w:rPr>
        <w:t xml:space="preserve">UNICEF, </w:t>
      </w:r>
      <w:r w:rsidRPr="008F4348">
        <w:rPr>
          <w:rFonts w:ascii="Book Antiqua" w:eastAsia="Calibri" w:hAnsi="Book Antiqua"/>
          <w:i/>
          <w:iCs/>
          <w:sz w:val="20"/>
          <w:szCs w:val="20"/>
        </w:rPr>
        <w:t>Study on the Economic Impact of Violence Against Children in Ghana</w:t>
      </w:r>
      <w:r w:rsidRPr="008F4348">
        <w:rPr>
          <w:rFonts w:ascii="Book Antiqua" w:eastAsia="Calibri" w:hAnsi="Book Antiqua"/>
          <w:sz w:val="20"/>
          <w:szCs w:val="20"/>
        </w:rPr>
        <w:t xml:space="preserve"> (Accra: UNICEF Ghana, 2015).</w:t>
      </w:r>
    </w:p>
  </w:footnote>
  <w:footnote w:id="30">
    <w:p w14:paraId="343779BA" w14:textId="75931D37" w:rsidR="00033C69" w:rsidRPr="008F4348" w:rsidRDefault="00033C69" w:rsidP="001E3362">
      <w:pPr>
        <w:spacing w:after="0" w:line="240" w:lineRule="auto"/>
        <w:jc w:val="both"/>
        <w:rPr>
          <w:rFonts w:ascii="Book Antiqua" w:eastAsia="Calibri" w:hAnsi="Book Antiqua"/>
          <w:sz w:val="20"/>
          <w:szCs w:val="20"/>
        </w:rPr>
      </w:pPr>
      <w:r w:rsidRPr="008F4348">
        <w:rPr>
          <w:rStyle w:val="FootnoteReference"/>
          <w:rFonts w:ascii="Book Antiqua" w:hAnsi="Book Antiqua"/>
          <w:sz w:val="20"/>
          <w:szCs w:val="20"/>
        </w:rPr>
        <w:footnoteRef/>
      </w:r>
      <w:r w:rsidRPr="008F4348">
        <w:rPr>
          <w:rFonts w:ascii="Book Antiqua" w:hAnsi="Book Antiqua"/>
          <w:sz w:val="20"/>
          <w:szCs w:val="20"/>
        </w:rPr>
        <w:t xml:space="preserve"> </w:t>
      </w:r>
      <w:r w:rsidRPr="008F4348">
        <w:rPr>
          <w:rFonts w:ascii="Book Antiqua" w:eastAsia="Calibri" w:hAnsi="Book Antiqua"/>
          <w:sz w:val="20"/>
          <w:szCs w:val="20"/>
        </w:rPr>
        <w:t xml:space="preserve">Ghana Health Service, </w:t>
      </w:r>
      <w:r w:rsidRPr="008F4348">
        <w:rPr>
          <w:rFonts w:ascii="Book Antiqua" w:eastAsia="Calibri" w:hAnsi="Book Antiqua"/>
          <w:i/>
          <w:iCs/>
          <w:sz w:val="20"/>
          <w:szCs w:val="20"/>
        </w:rPr>
        <w:t>National Study on the Health Sector Response to Child Abuse in Ghana</w:t>
      </w:r>
      <w:r w:rsidRPr="008F4348">
        <w:rPr>
          <w:rFonts w:ascii="Book Antiqua" w:eastAsia="Calibri" w:hAnsi="Book Antiqua"/>
          <w:sz w:val="20"/>
          <w:szCs w:val="20"/>
        </w:rPr>
        <w:t xml:space="preserve"> (Accra: Ghana Health Service, with support from UNICEF, 2018).</w:t>
      </w:r>
    </w:p>
  </w:footnote>
  <w:footnote w:id="31">
    <w:p w14:paraId="5F499B2C" w14:textId="56097FA8" w:rsidR="00033C69" w:rsidRPr="008F4348" w:rsidRDefault="00033C69" w:rsidP="000D661D">
      <w:pPr>
        <w:spacing w:after="0" w:line="240" w:lineRule="auto"/>
        <w:jc w:val="both"/>
        <w:rPr>
          <w:rFonts w:ascii="Book Antiqua" w:eastAsia="Calibri" w:hAnsi="Book Antiqua"/>
          <w:sz w:val="20"/>
          <w:szCs w:val="20"/>
        </w:rPr>
      </w:pPr>
      <w:r w:rsidRPr="008F4348">
        <w:rPr>
          <w:rStyle w:val="FootnoteReference"/>
          <w:rFonts w:ascii="Book Antiqua" w:hAnsi="Book Antiqua"/>
          <w:sz w:val="20"/>
          <w:szCs w:val="20"/>
        </w:rPr>
        <w:footnoteRef/>
      </w:r>
      <w:r w:rsidRPr="008F4348">
        <w:rPr>
          <w:rFonts w:ascii="Book Antiqua" w:hAnsi="Book Antiqua"/>
          <w:sz w:val="20"/>
          <w:szCs w:val="20"/>
        </w:rPr>
        <w:t xml:space="preserve"> </w:t>
      </w:r>
      <w:r w:rsidRPr="008F4348">
        <w:rPr>
          <w:rFonts w:ascii="Book Antiqua" w:eastAsia="Calibri" w:hAnsi="Book Antiqua"/>
          <w:sz w:val="20"/>
          <w:szCs w:val="20"/>
        </w:rPr>
        <w:t xml:space="preserve">Anthony Agu, Andrews Brown, Maimuna Adamu-Issah, and Angela Duncan, “Child Sexual Abuse in Ghanaian Public Schools: A Descriptive and Exploratory Study,” </w:t>
      </w:r>
      <w:r w:rsidRPr="008F4348">
        <w:rPr>
          <w:rFonts w:ascii="Book Antiqua" w:eastAsia="Calibri" w:hAnsi="Book Antiqua"/>
          <w:i/>
          <w:iCs/>
          <w:sz w:val="20"/>
          <w:szCs w:val="20"/>
        </w:rPr>
        <w:t>African Journal of Social Work Studies</w:t>
      </w:r>
      <w:r w:rsidRPr="008F4348">
        <w:rPr>
          <w:rFonts w:ascii="Book Antiqua" w:eastAsia="Calibri" w:hAnsi="Book Antiqua"/>
          <w:sz w:val="20"/>
          <w:szCs w:val="20"/>
        </w:rPr>
        <w:t>, 122.</w:t>
      </w:r>
    </w:p>
  </w:footnote>
  <w:footnote w:id="32">
    <w:p w14:paraId="4D551B84" w14:textId="457341D9" w:rsidR="00033C69" w:rsidRPr="008F4348" w:rsidRDefault="00033C69" w:rsidP="000D661D">
      <w:pPr>
        <w:spacing w:after="0" w:line="240" w:lineRule="auto"/>
        <w:jc w:val="both"/>
        <w:rPr>
          <w:rFonts w:ascii="Book Antiqua" w:eastAsia="Calibri" w:hAnsi="Book Antiqua"/>
          <w:sz w:val="20"/>
          <w:szCs w:val="20"/>
        </w:rPr>
      </w:pPr>
      <w:r w:rsidRPr="008F4348">
        <w:rPr>
          <w:rStyle w:val="FootnoteReference"/>
          <w:rFonts w:ascii="Book Antiqua" w:hAnsi="Book Antiqua"/>
          <w:sz w:val="20"/>
          <w:szCs w:val="20"/>
        </w:rPr>
        <w:footnoteRef/>
      </w:r>
      <w:r w:rsidRPr="008F4348">
        <w:rPr>
          <w:rFonts w:ascii="Book Antiqua" w:hAnsi="Book Antiqua"/>
          <w:sz w:val="20"/>
          <w:szCs w:val="20"/>
        </w:rPr>
        <w:t xml:space="preserve"> </w:t>
      </w:r>
      <w:r w:rsidRPr="008F4348">
        <w:rPr>
          <w:rFonts w:ascii="Book Antiqua" w:eastAsia="Calibri" w:hAnsi="Book Antiqua"/>
          <w:sz w:val="20"/>
          <w:szCs w:val="20"/>
        </w:rPr>
        <w:t xml:space="preserve">E. Owusu-Addo et al., “Prevalence and Determinants of Sexual Abuse among Adolescent Girls during the COVID-19 Lockdown and School Closures in Ghana: A Mixed Method Study,” </w:t>
      </w:r>
      <w:r w:rsidRPr="008F4348">
        <w:rPr>
          <w:rFonts w:ascii="Book Antiqua" w:eastAsia="Calibri" w:hAnsi="Book Antiqua"/>
          <w:i/>
          <w:iCs/>
          <w:sz w:val="20"/>
          <w:szCs w:val="20"/>
        </w:rPr>
        <w:t>Child Abuse &amp; Neglect</w:t>
      </w:r>
      <w:r w:rsidRPr="008F4348">
        <w:rPr>
          <w:rFonts w:ascii="Book Antiqua" w:eastAsia="Calibri" w:hAnsi="Book Antiqua"/>
          <w:sz w:val="20"/>
          <w:szCs w:val="20"/>
        </w:rPr>
        <w:t xml:space="preserve"> 135 (2023): 105997.</w:t>
      </w:r>
    </w:p>
  </w:footnote>
  <w:footnote w:id="33">
    <w:p w14:paraId="3751511E" w14:textId="28449E2A" w:rsidR="000D661D" w:rsidRPr="008F4348" w:rsidRDefault="000D661D" w:rsidP="000D661D">
      <w:pPr>
        <w:spacing w:after="0" w:line="240" w:lineRule="auto"/>
        <w:rPr>
          <w:rFonts w:ascii="Book Antiqua" w:eastAsia="Times New Roman" w:hAnsi="Book Antiqua"/>
          <w:sz w:val="20"/>
          <w:szCs w:val="20"/>
          <w:lang w:val="af-ZA" w:eastAsia="af-ZA"/>
        </w:rPr>
      </w:pPr>
      <w:r w:rsidRPr="008F4348">
        <w:rPr>
          <w:rStyle w:val="FootnoteReference"/>
          <w:rFonts w:ascii="Book Antiqua" w:hAnsi="Book Antiqua"/>
          <w:sz w:val="20"/>
          <w:szCs w:val="20"/>
        </w:rPr>
        <w:footnoteRef/>
      </w:r>
      <w:r w:rsidRPr="008F4348">
        <w:rPr>
          <w:rFonts w:ascii="Book Antiqua" w:hAnsi="Book Antiqua"/>
          <w:sz w:val="20"/>
          <w:szCs w:val="20"/>
        </w:rPr>
        <w:t xml:space="preserve"> </w:t>
      </w:r>
      <w:r w:rsidRPr="008F4348">
        <w:rPr>
          <w:rFonts w:ascii="Book Antiqua" w:eastAsia="Times New Roman" w:hAnsi="Book Antiqua"/>
          <w:sz w:val="20"/>
          <w:szCs w:val="20"/>
          <w:lang w:val="af-ZA" w:eastAsia="af-ZA"/>
        </w:rPr>
        <w:t xml:space="preserve">Ebenezer Tetteh Kpalam and Eva Ahiataku, “An Ecclesial Analysis of Child Sexual Abuse in Ghana: Implications for Pastoral Response,” </w:t>
      </w:r>
      <w:r w:rsidRPr="008F4348">
        <w:rPr>
          <w:rFonts w:ascii="Book Antiqua" w:eastAsia="Times New Roman" w:hAnsi="Book Antiqua"/>
          <w:i/>
          <w:iCs/>
          <w:sz w:val="20"/>
          <w:szCs w:val="20"/>
          <w:lang w:val="af-ZA" w:eastAsia="af-ZA"/>
        </w:rPr>
        <w:t>E-Journal of Religious and Theological Studies</w:t>
      </w:r>
      <w:r w:rsidRPr="008F4348">
        <w:rPr>
          <w:rFonts w:ascii="Book Antiqua" w:eastAsia="Times New Roman" w:hAnsi="Book Antiqua"/>
          <w:sz w:val="20"/>
          <w:szCs w:val="20"/>
          <w:lang w:val="af-ZA" w:eastAsia="af-ZA"/>
        </w:rPr>
        <w:t xml:space="preserve"> 9, no. 7 (2023): 304–317, </w:t>
      </w:r>
      <w:hyperlink r:id="rId3" w:history="1">
        <w:r w:rsidRPr="008F4348">
          <w:rPr>
            <w:rFonts w:ascii="Book Antiqua" w:eastAsia="Times New Roman" w:hAnsi="Book Antiqua"/>
            <w:sz w:val="20"/>
            <w:szCs w:val="20"/>
            <w:lang w:val="af-ZA" w:eastAsia="af-ZA"/>
          </w:rPr>
          <w:t>https://doi.org/10.38159/erats.2023976</w:t>
        </w:r>
      </w:hyperlink>
      <w:r w:rsidRPr="008F4348">
        <w:rPr>
          <w:rFonts w:ascii="Book Antiqua" w:eastAsia="Times New Roman" w:hAnsi="Book Antiqua"/>
          <w:sz w:val="20"/>
          <w:szCs w:val="20"/>
          <w:lang w:val="af-ZA" w:eastAsia="af-ZA"/>
        </w:rPr>
        <w:t>.</w:t>
      </w:r>
    </w:p>
  </w:footnote>
  <w:footnote w:id="34">
    <w:p w14:paraId="7838204B" w14:textId="145F5463" w:rsidR="000D661D" w:rsidRPr="008F4348" w:rsidRDefault="000D661D" w:rsidP="000D661D">
      <w:pPr>
        <w:spacing w:after="0" w:line="240" w:lineRule="auto"/>
        <w:rPr>
          <w:rFonts w:ascii="Book Antiqua" w:eastAsia="Times New Roman" w:hAnsi="Book Antiqua"/>
          <w:sz w:val="20"/>
          <w:szCs w:val="20"/>
          <w:lang w:val="af-ZA" w:eastAsia="af-ZA"/>
        </w:rPr>
      </w:pPr>
      <w:r w:rsidRPr="008F4348">
        <w:rPr>
          <w:rStyle w:val="FootnoteReference"/>
          <w:rFonts w:ascii="Book Antiqua" w:hAnsi="Book Antiqua"/>
          <w:sz w:val="20"/>
          <w:szCs w:val="20"/>
        </w:rPr>
        <w:footnoteRef/>
      </w:r>
      <w:r w:rsidRPr="008F4348">
        <w:rPr>
          <w:rFonts w:ascii="Book Antiqua" w:hAnsi="Book Antiqua"/>
          <w:sz w:val="20"/>
          <w:szCs w:val="20"/>
        </w:rPr>
        <w:t xml:space="preserve"> </w:t>
      </w:r>
      <w:r w:rsidRPr="008F4348">
        <w:rPr>
          <w:rFonts w:ascii="Book Antiqua" w:eastAsia="Times New Roman" w:hAnsi="Book Antiqua"/>
          <w:sz w:val="20"/>
          <w:szCs w:val="20"/>
          <w:lang w:val="af-ZA" w:eastAsia="af-ZA"/>
        </w:rPr>
        <w:t xml:space="preserve">Emmanuel Nii-Boye Quarshie et al., “Clergy-Perpetrated Sexual Abuse in Ghana: A Media Content Analysis of Survivors, Offenders, and Offence Characteristics,” </w:t>
      </w:r>
      <w:r w:rsidRPr="008F4348">
        <w:rPr>
          <w:rFonts w:ascii="Book Antiqua" w:eastAsia="Times New Roman" w:hAnsi="Book Antiqua"/>
          <w:i/>
          <w:iCs/>
          <w:sz w:val="20"/>
          <w:szCs w:val="20"/>
          <w:lang w:val="af-ZA" w:eastAsia="af-ZA"/>
        </w:rPr>
        <w:t>Journal of Religion and Health</w:t>
      </w:r>
      <w:r w:rsidRPr="008F4348">
        <w:rPr>
          <w:rFonts w:ascii="Book Antiqua" w:eastAsia="Times New Roman" w:hAnsi="Book Antiqua"/>
          <w:sz w:val="20"/>
          <w:szCs w:val="20"/>
          <w:lang w:val="af-ZA" w:eastAsia="af-ZA"/>
        </w:rPr>
        <w:t xml:space="preserve"> 61, no. 4 (2022): 3028–3054, </w:t>
      </w:r>
      <w:hyperlink r:id="rId4" w:history="1">
        <w:r w:rsidRPr="008F4348">
          <w:rPr>
            <w:rFonts w:ascii="Book Antiqua" w:eastAsia="Times New Roman" w:hAnsi="Book Antiqua"/>
            <w:sz w:val="20"/>
            <w:szCs w:val="20"/>
            <w:lang w:val="af-ZA" w:eastAsia="af-ZA"/>
          </w:rPr>
          <w:t>https://doi.org/10.1007/s10943-021-01430-3</w:t>
        </w:r>
      </w:hyperlink>
      <w:r w:rsidR="00F65CF1">
        <w:rPr>
          <w:rFonts w:ascii="Book Antiqua" w:eastAsia="Times New Roman" w:hAnsi="Book Antiqua"/>
          <w:sz w:val="20"/>
          <w:szCs w:val="20"/>
          <w:lang w:val="af-ZA" w:eastAsia="af-ZA"/>
        </w:rPr>
        <w:t>.</w:t>
      </w:r>
    </w:p>
  </w:footnote>
  <w:footnote w:id="35">
    <w:p w14:paraId="424F3756" w14:textId="1781B3B9" w:rsidR="00794B2E" w:rsidRPr="008F4348" w:rsidRDefault="00794B2E" w:rsidP="000D661D">
      <w:pPr>
        <w:spacing w:after="0" w:line="240" w:lineRule="auto"/>
        <w:jc w:val="both"/>
        <w:rPr>
          <w:rFonts w:ascii="Book Antiqua" w:eastAsia="Calibri" w:hAnsi="Book Antiqua"/>
          <w:sz w:val="20"/>
          <w:szCs w:val="20"/>
        </w:rPr>
      </w:pPr>
      <w:r w:rsidRPr="008F4348">
        <w:rPr>
          <w:rStyle w:val="FootnoteReference"/>
          <w:rFonts w:ascii="Book Antiqua" w:hAnsi="Book Antiqua"/>
          <w:sz w:val="20"/>
          <w:szCs w:val="20"/>
        </w:rPr>
        <w:footnoteRef/>
      </w:r>
      <w:r w:rsidRPr="008F4348">
        <w:rPr>
          <w:rFonts w:ascii="Book Antiqua" w:hAnsi="Book Antiqua"/>
          <w:sz w:val="20"/>
          <w:szCs w:val="20"/>
        </w:rPr>
        <w:t xml:space="preserve"> </w:t>
      </w:r>
      <w:r w:rsidRPr="00861D19">
        <w:rPr>
          <w:rFonts w:ascii="Book Antiqua" w:eastAsia="Calibri" w:hAnsi="Book Antiqua"/>
          <w:sz w:val="20"/>
          <w:szCs w:val="20"/>
        </w:rPr>
        <w:t xml:space="preserve">Joe Holland and Peter </w:t>
      </w:r>
      <w:r w:rsidR="00F50660" w:rsidRPr="00861D19">
        <w:rPr>
          <w:rFonts w:ascii="Book Antiqua" w:eastAsia="Calibri" w:hAnsi="Book Antiqua"/>
          <w:sz w:val="20"/>
          <w:szCs w:val="20"/>
        </w:rPr>
        <w:t xml:space="preserve">J. </w:t>
      </w:r>
      <w:r w:rsidRPr="00861D19">
        <w:rPr>
          <w:rFonts w:ascii="Book Antiqua" w:eastAsia="Calibri" w:hAnsi="Book Antiqua"/>
          <w:sz w:val="20"/>
          <w:szCs w:val="20"/>
        </w:rPr>
        <w:t xml:space="preserve">Henriot, </w:t>
      </w:r>
      <w:r w:rsidRPr="00861D19">
        <w:rPr>
          <w:rFonts w:ascii="Book Antiqua" w:eastAsia="Calibri" w:hAnsi="Book Antiqua"/>
          <w:i/>
          <w:iCs/>
          <w:sz w:val="20"/>
          <w:szCs w:val="20"/>
        </w:rPr>
        <w:t>Social Analysis: Linking Faith and Justice</w:t>
      </w:r>
      <w:r w:rsidRPr="00861D19">
        <w:rPr>
          <w:rFonts w:ascii="Book Antiqua" w:eastAsia="Calibri" w:hAnsi="Book Antiqua"/>
          <w:sz w:val="20"/>
          <w:szCs w:val="20"/>
        </w:rPr>
        <w:t xml:space="preserve"> (Maryknoll, NY: Orbis Books, 1983).</w:t>
      </w:r>
    </w:p>
  </w:footnote>
  <w:footnote w:id="36">
    <w:p w14:paraId="29079C13" w14:textId="6C3E6B1B" w:rsidR="00794B2E" w:rsidRPr="008F4348" w:rsidRDefault="00794B2E" w:rsidP="00470D7A">
      <w:pPr>
        <w:spacing w:after="0" w:line="240" w:lineRule="auto"/>
        <w:jc w:val="both"/>
        <w:rPr>
          <w:rFonts w:ascii="Book Antiqua" w:eastAsia="Calibri" w:hAnsi="Book Antiqua"/>
          <w:sz w:val="20"/>
          <w:szCs w:val="20"/>
        </w:rPr>
      </w:pPr>
      <w:r w:rsidRPr="008F4348">
        <w:rPr>
          <w:rStyle w:val="FootnoteReference"/>
          <w:rFonts w:ascii="Book Antiqua" w:hAnsi="Book Antiqua"/>
          <w:sz w:val="20"/>
          <w:szCs w:val="20"/>
        </w:rPr>
        <w:footnoteRef/>
      </w:r>
      <w:r w:rsidRPr="008F4348">
        <w:rPr>
          <w:rFonts w:ascii="Book Antiqua" w:hAnsi="Book Antiqua"/>
          <w:sz w:val="20"/>
          <w:szCs w:val="20"/>
        </w:rPr>
        <w:t xml:space="preserve"> </w:t>
      </w:r>
      <w:r w:rsidRPr="008F4348">
        <w:rPr>
          <w:rFonts w:ascii="Book Antiqua" w:eastAsia="Calibri" w:hAnsi="Book Antiqua"/>
          <w:sz w:val="20"/>
          <w:szCs w:val="20"/>
        </w:rPr>
        <w:t xml:space="preserve">Paul Ballard and John Pritchard, </w:t>
      </w:r>
      <w:r w:rsidRPr="008F4348">
        <w:rPr>
          <w:rFonts w:ascii="Book Antiqua" w:eastAsia="Calibri" w:hAnsi="Book Antiqua"/>
          <w:i/>
          <w:iCs/>
          <w:sz w:val="20"/>
          <w:szCs w:val="20"/>
        </w:rPr>
        <w:t>Practical Theology in Action: Christian Thinking in the Service of Church and Society</w:t>
      </w:r>
      <w:r w:rsidRPr="008F4348">
        <w:rPr>
          <w:rFonts w:ascii="Book Antiqua" w:eastAsia="Calibri" w:hAnsi="Book Antiqua"/>
          <w:sz w:val="20"/>
          <w:szCs w:val="20"/>
        </w:rPr>
        <w:t>, 2nd ed. (London: SPCK, 2006).</w:t>
      </w:r>
    </w:p>
  </w:footnote>
  <w:footnote w:id="37">
    <w:p w14:paraId="12F15859" w14:textId="319FD3DC" w:rsidR="00794B2E" w:rsidRPr="008F4348" w:rsidRDefault="00794B2E" w:rsidP="00470D7A">
      <w:pPr>
        <w:spacing w:after="0" w:line="240" w:lineRule="auto"/>
        <w:jc w:val="both"/>
        <w:rPr>
          <w:rFonts w:ascii="Book Antiqua" w:eastAsia="Calibri" w:hAnsi="Book Antiqua"/>
          <w:sz w:val="20"/>
          <w:szCs w:val="20"/>
        </w:rPr>
      </w:pPr>
      <w:r w:rsidRPr="008F4348">
        <w:rPr>
          <w:rStyle w:val="FootnoteReference"/>
          <w:rFonts w:ascii="Book Antiqua" w:hAnsi="Book Antiqua"/>
          <w:sz w:val="20"/>
          <w:szCs w:val="20"/>
        </w:rPr>
        <w:footnoteRef/>
      </w:r>
      <w:r w:rsidRPr="008F4348">
        <w:rPr>
          <w:rFonts w:ascii="Book Antiqua" w:hAnsi="Book Antiqua"/>
          <w:sz w:val="20"/>
          <w:szCs w:val="20"/>
        </w:rPr>
        <w:t xml:space="preserve"> </w:t>
      </w:r>
      <w:r w:rsidRPr="008F4348">
        <w:rPr>
          <w:rFonts w:ascii="Book Antiqua" w:eastAsia="Calibri" w:hAnsi="Book Antiqua"/>
          <w:sz w:val="20"/>
          <w:szCs w:val="20"/>
        </w:rPr>
        <w:t xml:space="preserve">Brian Macallan and H. Jurgens Hendriks, “Practical Theology and Philosophy: Working from a Distinctly Trans/postdisciplinary Approach,” </w:t>
      </w:r>
      <w:r w:rsidRPr="008F4348">
        <w:rPr>
          <w:rFonts w:ascii="Book Antiqua" w:eastAsia="Calibri" w:hAnsi="Book Antiqua"/>
          <w:i/>
          <w:iCs/>
          <w:sz w:val="20"/>
          <w:szCs w:val="20"/>
        </w:rPr>
        <w:t>HTS Teologiese Studies/Theological Studies</w:t>
      </w:r>
      <w:r w:rsidRPr="008F4348">
        <w:rPr>
          <w:rFonts w:ascii="Book Antiqua" w:eastAsia="Calibri" w:hAnsi="Book Antiqua"/>
          <w:sz w:val="20"/>
          <w:szCs w:val="20"/>
        </w:rPr>
        <w:t xml:space="preserve"> 68, no. 1 (2012).</w:t>
      </w:r>
    </w:p>
  </w:footnote>
  <w:footnote w:id="38">
    <w:p w14:paraId="4F0F9F16" w14:textId="26B3371C" w:rsidR="00BC54BD" w:rsidRPr="008F4348" w:rsidRDefault="00BC54BD" w:rsidP="00C07FC3">
      <w:pPr>
        <w:spacing w:after="0" w:line="240" w:lineRule="auto"/>
        <w:jc w:val="both"/>
        <w:rPr>
          <w:rFonts w:ascii="Book Antiqua" w:eastAsia="Calibri" w:hAnsi="Book Antiqua"/>
          <w:sz w:val="20"/>
          <w:szCs w:val="20"/>
        </w:rPr>
      </w:pPr>
      <w:r w:rsidRPr="008F4348">
        <w:rPr>
          <w:rStyle w:val="FootnoteReference"/>
          <w:rFonts w:ascii="Book Antiqua" w:hAnsi="Book Antiqua"/>
          <w:sz w:val="20"/>
          <w:szCs w:val="20"/>
        </w:rPr>
        <w:footnoteRef/>
      </w:r>
      <w:r w:rsidRPr="008F4348">
        <w:rPr>
          <w:rFonts w:ascii="Book Antiqua" w:hAnsi="Book Antiqua"/>
          <w:sz w:val="20"/>
          <w:szCs w:val="20"/>
        </w:rPr>
        <w:t xml:space="preserve"> </w:t>
      </w:r>
      <w:r w:rsidRPr="008F4348">
        <w:rPr>
          <w:rFonts w:ascii="Book Antiqua" w:eastAsia="Calibri" w:hAnsi="Book Antiqua"/>
          <w:sz w:val="20"/>
          <w:szCs w:val="20"/>
        </w:rPr>
        <w:t xml:space="preserve">Joe Holland and Peter Henriot, </w:t>
      </w:r>
      <w:r w:rsidRPr="008F4348">
        <w:rPr>
          <w:rFonts w:ascii="Book Antiqua" w:eastAsia="Calibri" w:hAnsi="Book Antiqua"/>
          <w:i/>
          <w:iCs/>
          <w:sz w:val="20"/>
          <w:szCs w:val="20"/>
        </w:rPr>
        <w:t>Social Analysis: Linking Faith and Justice</w:t>
      </w:r>
      <w:r w:rsidRPr="008F4348">
        <w:rPr>
          <w:rFonts w:ascii="Book Antiqua" w:eastAsia="Calibri" w:hAnsi="Book Antiqua"/>
          <w:sz w:val="20"/>
          <w:szCs w:val="20"/>
        </w:rPr>
        <w:t xml:space="preserve"> (Maryknoll, NY: Orbis Books, 1983).</w:t>
      </w:r>
    </w:p>
  </w:footnote>
  <w:footnote w:id="39">
    <w:p w14:paraId="5E45D91E" w14:textId="5B8F6BDF" w:rsidR="00AB41E8" w:rsidRPr="008F4348" w:rsidRDefault="00AB41E8" w:rsidP="00C07FC3">
      <w:pPr>
        <w:spacing w:after="0" w:line="240" w:lineRule="auto"/>
        <w:jc w:val="both"/>
        <w:rPr>
          <w:rFonts w:ascii="Book Antiqua" w:eastAsia="Calibri" w:hAnsi="Book Antiqua"/>
          <w:sz w:val="20"/>
          <w:szCs w:val="20"/>
        </w:rPr>
      </w:pPr>
      <w:r w:rsidRPr="008F4348">
        <w:rPr>
          <w:rStyle w:val="FootnoteReference"/>
          <w:rFonts w:ascii="Book Antiqua" w:hAnsi="Book Antiqua"/>
          <w:sz w:val="20"/>
          <w:szCs w:val="20"/>
        </w:rPr>
        <w:footnoteRef/>
      </w:r>
      <w:r w:rsidRPr="008F4348">
        <w:rPr>
          <w:rFonts w:ascii="Book Antiqua" w:hAnsi="Book Antiqua"/>
          <w:sz w:val="20"/>
          <w:szCs w:val="20"/>
        </w:rPr>
        <w:t xml:space="preserve"> </w:t>
      </w:r>
      <w:r w:rsidRPr="008F4348">
        <w:rPr>
          <w:rFonts w:ascii="Book Antiqua" w:eastAsia="Calibri" w:hAnsi="Book Antiqua"/>
          <w:sz w:val="20"/>
          <w:szCs w:val="20"/>
        </w:rPr>
        <w:t xml:space="preserve">James R. Cochrane, John de Gruchy, and Robin Petersen, </w:t>
      </w:r>
      <w:r w:rsidRPr="008F4348">
        <w:rPr>
          <w:rFonts w:ascii="Book Antiqua" w:eastAsia="Calibri" w:hAnsi="Book Antiqua"/>
          <w:i/>
          <w:iCs/>
          <w:sz w:val="20"/>
          <w:szCs w:val="20"/>
        </w:rPr>
        <w:t>In Word and Deed: Towards a Practical Theology for Social Transformation</w:t>
      </w:r>
      <w:r w:rsidRPr="008F4348">
        <w:rPr>
          <w:rFonts w:ascii="Book Antiqua" w:eastAsia="Calibri" w:hAnsi="Book Antiqua"/>
          <w:sz w:val="20"/>
          <w:szCs w:val="20"/>
        </w:rPr>
        <w:t xml:space="preserve"> (Pietermaritzburg: Cluster Publications, 1991).</w:t>
      </w:r>
    </w:p>
  </w:footnote>
  <w:footnote w:id="40">
    <w:p w14:paraId="1B62196F" w14:textId="282A38C2" w:rsidR="00AB41E8" w:rsidRPr="008F4348" w:rsidRDefault="00AB41E8" w:rsidP="00C07FC3">
      <w:pPr>
        <w:spacing w:after="0" w:line="240" w:lineRule="auto"/>
        <w:jc w:val="both"/>
        <w:rPr>
          <w:rFonts w:ascii="Book Antiqua" w:eastAsia="Calibri" w:hAnsi="Book Antiqua"/>
          <w:sz w:val="20"/>
          <w:szCs w:val="20"/>
        </w:rPr>
      </w:pPr>
      <w:r w:rsidRPr="008F4348">
        <w:rPr>
          <w:rStyle w:val="FootnoteReference"/>
          <w:rFonts w:ascii="Book Antiqua" w:hAnsi="Book Antiqua"/>
          <w:sz w:val="20"/>
          <w:szCs w:val="20"/>
        </w:rPr>
        <w:footnoteRef/>
      </w:r>
      <w:r w:rsidRPr="008F4348">
        <w:rPr>
          <w:rFonts w:ascii="Book Antiqua" w:hAnsi="Book Antiqua"/>
          <w:sz w:val="20"/>
          <w:szCs w:val="20"/>
        </w:rPr>
        <w:t xml:space="preserve"> </w:t>
      </w:r>
      <w:r w:rsidRPr="008F4348">
        <w:rPr>
          <w:rFonts w:ascii="Book Antiqua" w:eastAsia="Calibri" w:hAnsi="Book Antiqua"/>
          <w:sz w:val="20"/>
          <w:szCs w:val="20"/>
        </w:rPr>
        <w:t xml:space="preserve">Stephen B. Bevans, </w:t>
      </w:r>
      <w:r w:rsidRPr="008F4348">
        <w:rPr>
          <w:rFonts w:ascii="Book Antiqua" w:eastAsia="Calibri" w:hAnsi="Book Antiqua"/>
          <w:i/>
          <w:iCs/>
          <w:sz w:val="20"/>
          <w:szCs w:val="20"/>
        </w:rPr>
        <w:t>An Introduction to Theology in Global Perspective</w:t>
      </w:r>
      <w:r w:rsidRPr="008F4348">
        <w:rPr>
          <w:rFonts w:ascii="Book Antiqua" w:eastAsia="Calibri" w:hAnsi="Book Antiqua"/>
          <w:sz w:val="20"/>
          <w:szCs w:val="20"/>
        </w:rPr>
        <w:t xml:space="preserve"> (Maryknoll, NY: Orbis Books, 2018).</w:t>
      </w:r>
    </w:p>
  </w:footnote>
  <w:footnote w:id="41">
    <w:p w14:paraId="42297BEB" w14:textId="76D02FC8" w:rsidR="00AB41E8" w:rsidRPr="008F4348" w:rsidRDefault="00AB41E8" w:rsidP="00C07FC3">
      <w:pPr>
        <w:spacing w:after="0" w:line="240" w:lineRule="auto"/>
        <w:jc w:val="both"/>
        <w:rPr>
          <w:rFonts w:ascii="Book Antiqua" w:eastAsia="Calibri" w:hAnsi="Book Antiqua"/>
          <w:sz w:val="20"/>
          <w:szCs w:val="20"/>
        </w:rPr>
      </w:pPr>
      <w:r w:rsidRPr="008F4348">
        <w:rPr>
          <w:rStyle w:val="FootnoteReference"/>
          <w:rFonts w:ascii="Book Antiqua" w:hAnsi="Book Antiqua"/>
          <w:sz w:val="20"/>
          <w:szCs w:val="20"/>
        </w:rPr>
        <w:footnoteRef/>
      </w:r>
      <w:r w:rsidRPr="008F4348">
        <w:rPr>
          <w:rFonts w:ascii="Book Antiqua" w:hAnsi="Book Antiqua"/>
          <w:sz w:val="20"/>
          <w:szCs w:val="20"/>
        </w:rPr>
        <w:t xml:space="preserve"> </w:t>
      </w:r>
      <w:r w:rsidRPr="008F4348">
        <w:rPr>
          <w:rFonts w:ascii="Book Antiqua" w:eastAsia="Calibri" w:hAnsi="Book Antiqua"/>
          <w:sz w:val="20"/>
          <w:szCs w:val="20"/>
        </w:rPr>
        <w:t xml:space="preserve">Kathleen A. Cahalan and Gordon S. Mikoski, eds., </w:t>
      </w:r>
      <w:r w:rsidRPr="008F4348">
        <w:rPr>
          <w:rFonts w:ascii="Book Antiqua" w:eastAsia="Calibri" w:hAnsi="Book Antiqua"/>
          <w:i/>
          <w:iCs/>
          <w:sz w:val="20"/>
          <w:szCs w:val="20"/>
        </w:rPr>
        <w:t>Opening the Field of Practical Theology: An Introduction</w:t>
      </w:r>
      <w:r w:rsidRPr="008F4348">
        <w:rPr>
          <w:rFonts w:ascii="Book Antiqua" w:eastAsia="Calibri" w:hAnsi="Book Antiqua"/>
          <w:sz w:val="20"/>
          <w:szCs w:val="20"/>
        </w:rPr>
        <w:t xml:space="preserve"> (Lanham, MD: Rowman &amp; Littlefield, 2014).</w:t>
      </w:r>
    </w:p>
  </w:footnote>
  <w:footnote w:id="42">
    <w:p w14:paraId="474D3CFE" w14:textId="0F1305CA" w:rsidR="008D61BD" w:rsidRPr="008F4348" w:rsidRDefault="000C383A" w:rsidP="00C07FC3">
      <w:pPr>
        <w:spacing w:after="0" w:line="240" w:lineRule="auto"/>
        <w:jc w:val="both"/>
        <w:rPr>
          <w:rFonts w:ascii="Book Antiqua" w:eastAsia="Times New Roman" w:hAnsi="Book Antiqua"/>
          <w:sz w:val="20"/>
          <w:szCs w:val="20"/>
          <w:lang w:val="af-ZA" w:eastAsia="af-ZA"/>
        </w:rPr>
      </w:pPr>
      <w:r w:rsidRPr="008F4348">
        <w:rPr>
          <w:rStyle w:val="FootnoteReference"/>
          <w:rFonts w:ascii="Book Antiqua" w:hAnsi="Book Antiqua"/>
          <w:sz w:val="20"/>
          <w:szCs w:val="20"/>
        </w:rPr>
        <w:footnoteRef/>
      </w:r>
      <w:r w:rsidRPr="008F4348">
        <w:rPr>
          <w:rFonts w:ascii="Book Antiqua" w:hAnsi="Book Antiqua"/>
          <w:sz w:val="20"/>
          <w:szCs w:val="20"/>
        </w:rPr>
        <w:t xml:space="preserve"> </w:t>
      </w:r>
      <w:r w:rsidRPr="008F4348">
        <w:rPr>
          <w:rFonts w:ascii="Book Antiqua" w:eastAsia="Calibri" w:hAnsi="Book Antiqua"/>
          <w:sz w:val="20"/>
          <w:szCs w:val="20"/>
        </w:rPr>
        <w:t xml:space="preserve">Anthony Agu, Andrews Brown, Maimuna Adamu-Issah, and Angela Duncan, “Child Sexual Abuse in Ghanaian Public Schools: A Descriptive and Exploratory Study,” </w:t>
      </w:r>
      <w:r w:rsidRPr="008F4348">
        <w:rPr>
          <w:rFonts w:ascii="Book Antiqua" w:eastAsia="Calibri" w:hAnsi="Book Antiqua"/>
          <w:i/>
          <w:iCs/>
          <w:sz w:val="20"/>
          <w:szCs w:val="20"/>
        </w:rPr>
        <w:t>African Journal of Social Work Studies</w:t>
      </w:r>
      <w:r w:rsidRPr="008F4348">
        <w:rPr>
          <w:rFonts w:ascii="Book Antiqua" w:eastAsia="Calibri" w:hAnsi="Book Antiqua"/>
          <w:sz w:val="20"/>
          <w:szCs w:val="20"/>
        </w:rPr>
        <w:t xml:space="preserve">, </w:t>
      </w:r>
      <w:r w:rsidR="008D61BD" w:rsidRPr="008F4348">
        <w:rPr>
          <w:rFonts w:ascii="Book Antiqua" w:eastAsia="Calibri" w:hAnsi="Book Antiqua"/>
          <w:sz w:val="20"/>
          <w:szCs w:val="20"/>
        </w:rPr>
        <w:t>122;</w:t>
      </w:r>
      <w:r w:rsidR="008D61BD" w:rsidRPr="008F4348">
        <w:rPr>
          <w:rFonts w:ascii="Book Antiqua" w:eastAsia="Times New Roman" w:hAnsi="Book Antiqua"/>
          <w:sz w:val="20"/>
          <w:szCs w:val="20"/>
          <w:lang w:val="af-ZA" w:eastAsia="af-ZA"/>
        </w:rPr>
        <w:t xml:space="preserve"> </w:t>
      </w:r>
    </w:p>
    <w:p w14:paraId="26A73FEA" w14:textId="4790F888" w:rsidR="000C383A" w:rsidRPr="008F4348" w:rsidRDefault="008D61BD" w:rsidP="00C07FC3">
      <w:pPr>
        <w:spacing w:after="0" w:line="240" w:lineRule="auto"/>
        <w:jc w:val="both"/>
        <w:rPr>
          <w:rFonts w:ascii="Book Antiqua" w:eastAsia="Times New Roman" w:hAnsi="Book Antiqua"/>
          <w:sz w:val="20"/>
          <w:szCs w:val="20"/>
          <w:lang w:val="af-ZA" w:eastAsia="af-ZA"/>
        </w:rPr>
      </w:pPr>
      <w:r w:rsidRPr="008F4348">
        <w:rPr>
          <w:rFonts w:ascii="Book Antiqua" w:eastAsia="Times New Roman" w:hAnsi="Book Antiqua"/>
          <w:sz w:val="20"/>
          <w:szCs w:val="20"/>
          <w:lang w:val="af-ZA" w:eastAsia="af-ZA"/>
        </w:rPr>
        <w:t xml:space="preserve">Kevin Lalor, “Child Sexual Abuse in Sub-Saharan Africa: A Literature Review,” </w:t>
      </w:r>
      <w:r w:rsidRPr="008F4348">
        <w:rPr>
          <w:rFonts w:ascii="Book Antiqua" w:eastAsia="Times New Roman" w:hAnsi="Book Antiqua"/>
          <w:i/>
          <w:iCs/>
          <w:sz w:val="20"/>
          <w:szCs w:val="20"/>
          <w:lang w:val="af-ZA" w:eastAsia="af-ZA"/>
        </w:rPr>
        <w:t>Child Abuse &amp; Neglect</w:t>
      </w:r>
      <w:r w:rsidRPr="008F4348">
        <w:rPr>
          <w:rFonts w:ascii="Book Antiqua" w:eastAsia="Times New Roman" w:hAnsi="Book Antiqua"/>
          <w:sz w:val="20"/>
          <w:szCs w:val="20"/>
          <w:lang w:val="af-ZA" w:eastAsia="af-ZA"/>
        </w:rPr>
        <w:t xml:space="preserve"> 28, no. 4 (2004): 439–460, </w:t>
      </w:r>
      <w:hyperlink r:id="rId5" w:history="1">
        <w:r w:rsidRPr="008F4348">
          <w:rPr>
            <w:rFonts w:ascii="Book Antiqua" w:eastAsia="Times New Roman" w:hAnsi="Book Antiqua"/>
            <w:sz w:val="20"/>
            <w:szCs w:val="20"/>
            <w:lang w:val="af-ZA" w:eastAsia="af-ZA"/>
          </w:rPr>
          <w:t>https://doi.org/10.1016/j.chiabu.2003.07.005</w:t>
        </w:r>
      </w:hyperlink>
      <w:r w:rsidRPr="008F4348">
        <w:rPr>
          <w:rFonts w:ascii="Book Antiqua" w:eastAsia="Times New Roman" w:hAnsi="Book Antiqua"/>
          <w:sz w:val="20"/>
          <w:szCs w:val="20"/>
          <w:lang w:val="af-ZA" w:eastAsia="af-ZA"/>
        </w:rPr>
        <w:t>. (</w:t>
      </w:r>
      <w:hyperlink r:id="rId6" w:tooltip="Child sexual abuse in sub-Saharan Africa: a literature review - PubMed" w:history="1">
        <w:r w:rsidRPr="008F4348">
          <w:rPr>
            <w:rFonts w:ascii="Book Antiqua" w:eastAsia="Times New Roman" w:hAnsi="Book Antiqua"/>
            <w:sz w:val="20"/>
            <w:szCs w:val="20"/>
            <w:lang w:val="af-ZA" w:eastAsia="af-ZA"/>
          </w:rPr>
          <w:t>PubMed</w:t>
        </w:r>
      </w:hyperlink>
      <w:r w:rsidRPr="008F4348">
        <w:rPr>
          <w:rFonts w:ascii="Book Antiqua" w:eastAsia="Times New Roman" w:hAnsi="Book Antiqua"/>
          <w:sz w:val="20"/>
          <w:szCs w:val="20"/>
          <w:lang w:val="af-ZA" w:eastAsia="af-ZA"/>
        </w:rPr>
        <w:t xml:space="preserve">) ; Ebenezer Tetteh Kpalam, </w:t>
      </w:r>
      <w:r w:rsidR="00C254EE" w:rsidRPr="008F4348">
        <w:rPr>
          <w:rFonts w:ascii="Book Antiqua" w:eastAsia="Times New Roman" w:hAnsi="Book Antiqua"/>
          <w:sz w:val="20"/>
          <w:szCs w:val="20"/>
          <w:lang w:val="af-ZA" w:eastAsia="af-ZA"/>
        </w:rPr>
        <w:t>“</w:t>
      </w:r>
      <w:r w:rsidRPr="008F4348">
        <w:rPr>
          <w:rFonts w:ascii="Book Antiqua" w:eastAsia="Times New Roman" w:hAnsi="Book Antiqua"/>
          <w:sz w:val="20"/>
          <w:szCs w:val="20"/>
          <w:lang w:val="af-ZA" w:eastAsia="af-ZA"/>
        </w:rPr>
        <w:t>Applying Integrated Theology to Child Protection in the Church of Pentecost in Winneba Municipality in Ghana</w:t>
      </w:r>
      <w:r w:rsidR="00C254EE" w:rsidRPr="008F4348">
        <w:rPr>
          <w:rFonts w:ascii="Book Antiqua" w:eastAsia="Times New Roman" w:hAnsi="Book Antiqua"/>
          <w:sz w:val="20"/>
          <w:szCs w:val="20"/>
          <w:lang w:val="af-ZA" w:eastAsia="af-ZA"/>
        </w:rPr>
        <w:t>”</w:t>
      </w:r>
      <w:r w:rsidRPr="008F4348">
        <w:rPr>
          <w:rFonts w:ascii="Book Antiqua" w:eastAsia="Times New Roman" w:hAnsi="Book Antiqua"/>
          <w:sz w:val="20"/>
          <w:szCs w:val="20"/>
          <w:lang w:val="af-ZA" w:eastAsia="af-ZA"/>
        </w:rPr>
        <w:t xml:space="preserve"> </w:t>
      </w:r>
      <w:r w:rsidR="00C254EE" w:rsidRPr="008F4348">
        <w:rPr>
          <w:rFonts w:ascii="Book Antiqua" w:eastAsia="Times New Roman" w:hAnsi="Book Antiqua"/>
          <w:sz w:val="20"/>
          <w:szCs w:val="20"/>
          <w:lang w:val="af-ZA" w:eastAsia="af-ZA"/>
        </w:rPr>
        <w:t>(</w:t>
      </w:r>
      <w:r w:rsidRPr="008F4348">
        <w:rPr>
          <w:rFonts w:ascii="Book Antiqua" w:eastAsia="Times New Roman" w:hAnsi="Book Antiqua"/>
          <w:sz w:val="20"/>
          <w:szCs w:val="20"/>
          <w:lang w:val="af-ZA" w:eastAsia="af-ZA"/>
        </w:rPr>
        <w:t>Master</w:t>
      </w:r>
      <w:r w:rsidR="00C254EE" w:rsidRPr="008F4348">
        <w:rPr>
          <w:rFonts w:ascii="Book Antiqua" w:eastAsia="Times New Roman" w:hAnsi="Book Antiqua"/>
          <w:sz w:val="20"/>
          <w:szCs w:val="20"/>
          <w:lang w:val="af-ZA" w:eastAsia="af-ZA"/>
        </w:rPr>
        <w:t>’s</w:t>
      </w:r>
      <w:r w:rsidRPr="008F4348">
        <w:rPr>
          <w:rFonts w:ascii="Book Antiqua" w:eastAsia="Times New Roman" w:hAnsi="Book Antiqua"/>
          <w:sz w:val="20"/>
          <w:szCs w:val="20"/>
          <w:lang w:val="af-ZA" w:eastAsia="af-ZA"/>
        </w:rPr>
        <w:t xml:space="preserve"> The</w:t>
      </w:r>
      <w:r w:rsidR="00C254EE" w:rsidRPr="008F4348">
        <w:rPr>
          <w:rFonts w:ascii="Book Antiqua" w:eastAsia="Times New Roman" w:hAnsi="Book Antiqua"/>
          <w:sz w:val="20"/>
          <w:szCs w:val="20"/>
          <w:lang w:val="af-ZA" w:eastAsia="af-ZA"/>
        </w:rPr>
        <w:t>sis</w:t>
      </w:r>
      <w:r w:rsidRPr="008F4348">
        <w:rPr>
          <w:rFonts w:ascii="Book Antiqua" w:eastAsia="Times New Roman" w:hAnsi="Book Antiqua"/>
          <w:sz w:val="20"/>
          <w:szCs w:val="20"/>
          <w:lang w:val="af-ZA" w:eastAsia="af-ZA"/>
        </w:rPr>
        <w:t>, South African Theological Seminary, 2019).</w:t>
      </w:r>
    </w:p>
  </w:footnote>
  <w:footnote w:id="43">
    <w:p w14:paraId="391969D6" w14:textId="6DB41F78" w:rsidR="00C07FC3" w:rsidRPr="008F4348" w:rsidRDefault="00C07FC3" w:rsidP="00C07FC3">
      <w:pPr>
        <w:spacing w:after="0" w:line="240" w:lineRule="auto"/>
        <w:jc w:val="both"/>
        <w:rPr>
          <w:rFonts w:ascii="Book Antiqua" w:eastAsia="Calibri" w:hAnsi="Book Antiqua"/>
          <w:sz w:val="20"/>
          <w:szCs w:val="20"/>
        </w:rPr>
      </w:pPr>
      <w:r w:rsidRPr="008F4348">
        <w:rPr>
          <w:rStyle w:val="FootnoteReference"/>
          <w:rFonts w:ascii="Book Antiqua" w:hAnsi="Book Antiqua"/>
          <w:sz w:val="20"/>
          <w:szCs w:val="20"/>
        </w:rPr>
        <w:footnoteRef/>
      </w:r>
      <w:r w:rsidRPr="008F4348">
        <w:rPr>
          <w:rFonts w:ascii="Book Antiqua" w:hAnsi="Book Antiqua"/>
          <w:sz w:val="20"/>
          <w:szCs w:val="20"/>
        </w:rPr>
        <w:t xml:space="preserve"> </w:t>
      </w:r>
      <w:r w:rsidRPr="008F4348">
        <w:rPr>
          <w:rFonts w:ascii="Book Antiqua" w:eastAsia="Calibri" w:hAnsi="Book Antiqua"/>
          <w:sz w:val="20"/>
          <w:szCs w:val="20"/>
        </w:rPr>
        <w:t xml:space="preserve">Stephen B. Bevans, </w:t>
      </w:r>
      <w:r w:rsidRPr="008F4348">
        <w:rPr>
          <w:rFonts w:ascii="Book Antiqua" w:eastAsia="Calibri" w:hAnsi="Book Antiqua"/>
          <w:i/>
          <w:iCs/>
          <w:sz w:val="20"/>
          <w:szCs w:val="20"/>
        </w:rPr>
        <w:t>Models of Contextual Theology</w:t>
      </w:r>
      <w:r w:rsidRPr="008F4348">
        <w:rPr>
          <w:rFonts w:ascii="Book Antiqua" w:eastAsia="Calibri" w:hAnsi="Book Antiqua"/>
          <w:sz w:val="20"/>
          <w:szCs w:val="20"/>
        </w:rPr>
        <w:t xml:space="preserve">, rev. and expanded ed. (Maryknoll, NY: Orbis Books, 2002); H. Jurgens Hendriks, </w:t>
      </w:r>
      <w:r w:rsidRPr="008F4348">
        <w:rPr>
          <w:rFonts w:ascii="Book Antiqua" w:eastAsia="Calibri" w:hAnsi="Book Antiqua"/>
          <w:i/>
          <w:iCs/>
          <w:sz w:val="20"/>
          <w:szCs w:val="20"/>
        </w:rPr>
        <w:t>Studying Congregations in Africa</w:t>
      </w:r>
      <w:r w:rsidRPr="008F4348">
        <w:rPr>
          <w:rFonts w:ascii="Book Antiqua" w:eastAsia="Calibri" w:hAnsi="Book Antiqua"/>
          <w:sz w:val="20"/>
          <w:szCs w:val="20"/>
        </w:rPr>
        <w:t xml:space="preserve"> (Wellington: Lux Verbi, 2004); Brian Macallan and H. Jurgens Hendriks, “Practical Theology and Philosophy: Working from a Distinctly Trans/postdisciplinary Approach,” </w:t>
      </w:r>
      <w:r w:rsidRPr="008F4348">
        <w:rPr>
          <w:rFonts w:ascii="Book Antiqua" w:eastAsia="Calibri" w:hAnsi="Book Antiqua"/>
          <w:i/>
          <w:iCs/>
          <w:sz w:val="20"/>
          <w:szCs w:val="20"/>
        </w:rPr>
        <w:t>HTS Teologiese Studies/Theological Studies</w:t>
      </w:r>
      <w:r w:rsidRPr="008F4348">
        <w:rPr>
          <w:rFonts w:ascii="Book Antiqua" w:eastAsia="Calibri" w:hAnsi="Book Antiqua"/>
          <w:sz w:val="20"/>
          <w:szCs w:val="20"/>
        </w:rPr>
        <w:t xml:space="preserve"> 68, no. 1 (2012).</w:t>
      </w:r>
    </w:p>
  </w:footnote>
  <w:footnote w:id="44">
    <w:p w14:paraId="30BC7904" w14:textId="32283C40" w:rsidR="00F97A55" w:rsidRPr="008F4348" w:rsidRDefault="00F97A55" w:rsidP="00F23274">
      <w:pPr>
        <w:spacing w:after="0" w:line="240" w:lineRule="auto"/>
        <w:jc w:val="both"/>
        <w:rPr>
          <w:rFonts w:ascii="Book Antiqua" w:eastAsia="Calibri" w:hAnsi="Book Antiqua"/>
          <w:sz w:val="20"/>
          <w:szCs w:val="20"/>
        </w:rPr>
      </w:pPr>
      <w:r w:rsidRPr="008F4348">
        <w:rPr>
          <w:rStyle w:val="FootnoteReference"/>
          <w:rFonts w:ascii="Book Antiqua" w:hAnsi="Book Antiqua"/>
          <w:sz w:val="20"/>
          <w:szCs w:val="20"/>
        </w:rPr>
        <w:footnoteRef/>
      </w:r>
      <w:r w:rsidRPr="008F4348">
        <w:rPr>
          <w:rFonts w:ascii="Book Antiqua" w:hAnsi="Book Antiqua"/>
          <w:sz w:val="20"/>
          <w:szCs w:val="20"/>
        </w:rPr>
        <w:t xml:space="preserve"> </w:t>
      </w:r>
      <w:r w:rsidRPr="008F4348">
        <w:rPr>
          <w:rFonts w:ascii="Book Antiqua" w:eastAsia="Calibri" w:hAnsi="Book Antiqua"/>
          <w:sz w:val="20"/>
          <w:szCs w:val="20"/>
        </w:rPr>
        <w:t xml:space="preserve">Holland and Henriot, </w:t>
      </w:r>
      <w:r w:rsidRPr="008F4348">
        <w:rPr>
          <w:rFonts w:ascii="Book Antiqua" w:eastAsia="Calibri" w:hAnsi="Book Antiqua"/>
          <w:i/>
          <w:iCs/>
          <w:sz w:val="20"/>
          <w:szCs w:val="20"/>
        </w:rPr>
        <w:t>Social Analysis</w:t>
      </w:r>
      <w:r w:rsidRPr="008F4348">
        <w:rPr>
          <w:rFonts w:ascii="Book Antiqua" w:eastAsia="Calibri" w:hAnsi="Book Antiqua"/>
          <w:sz w:val="20"/>
          <w:szCs w:val="20"/>
        </w:rPr>
        <w:t>.</w:t>
      </w:r>
    </w:p>
  </w:footnote>
  <w:footnote w:id="45">
    <w:p w14:paraId="3B2CBFD8" w14:textId="4F834DA0" w:rsidR="00F97A55" w:rsidRPr="008F4348" w:rsidRDefault="00F97A55" w:rsidP="00F23274">
      <w:pPr>
        <w:spacing w:after="0" w:line="240" w:lineRule="auto"/>
        <w:jc w:val="both"/>
        <w:rPr>
          <w:rFonts w:ascii="Book Antiqua" w:eastAsia="Calibri" w:hAnsi="Book Antiqua"/>
          <w:sz w:val="20"/>
          <w:szCs w:val="20"/>
        </w:rPr>
      </w:pPr>
      <w:r w:rsidRPr="008F4348">
        <w:rPr>
          <w:rStyle w:val="FootnoteReference"/>
          <w:rFonts w:ascii="Book Antiqua" w:hAnsi="Book Antiqua"/>
          <w:sz w:val="20"/>
          <w:szCs w:val="20"/>
        </w:rPr>
        <w:footnoteRef/>
      </w:r>
      <w:r w:rsidRPr="008F4348">
        <w:rPr>
          <w:rFonts w:ascii="Book Antiqua" w:hAnsi="Book Antiqua"/>
          <w:sz w:val="20"/>
          <w:szCs w:val="20"/>
        </w:rPr>
        <w:t xml:space="preserve"> </w:t>
      </w:r>
      <w:r w:rsidRPr="008F4348">
        <w:rPr>
          <w:rFonts w:ascii="Book Antiqua" w:eastAsia="Calibri" w:hAnsi="Book Antiqua"/>
          <w:sz w:val="20"/>
          <w:szCs w:val="20"/>
        </w:rPr>
        <w:t xml:space="preserve">James R. Cochrane, John de Gruchy, and Robin Petersen, </w:t>
      </w:r>
      <w:r w:rsidRPr="008F4348">
        <w:rPr>
          <w:rFonts w:ascii="Book Antiqua" w:eastAsia="Calibri" w:hAnsi="Book Antiqua"/>
          <w:i/>
          <w:iCs/>
          <w:sz w:val="20"/>
          <w:szCs w:val="20"/>
        </w:rPr>
        <w:t>In Word and Deed: Towards a Practical Theology for Social Transformation</w:t>
      </w:r>
      <w:r w:rsidRPr="008F4348">
        <w:rPr>
          <w:rFonts w:ascii="Book Antiqua" w:eastAsia="Calibri" w:hAnsi="Book Antiqua"/>
          <w:sz w:val="20"/>
          <w:szCs w:val="20"/>
        </w:rPr>
        <w:t xml:space="preserve"> (Pietermaritzburg: Cluster Publications, 1991).</w:t>
      </w:r>
    </w:p>
  </w:footnote>
  <w:footnote w:id="46">
    <w:p w14:paraId="4609C2FD" w14:textId="6DF0CBA9" w:rsidR="00F97A55" w:rsidRPr="008F4348" w:rsidRDefault="00F97A55" w:rsidP="001E3362">
      <w:pPr>
        <w:spacing w:after="0" w:line="240" w:lineRule="auto"/>
        <w:jc w:val="both"/>
        <w:rPr>
          <w:rFonts w:ascii="Book Antiqua" w:eastAsia="Calibri" w:hAnsi="Book Antiqua"/>
          <w:sz w:val="20"/>
          <w:szCs w:val="20"/>
        </w:rPr>
      </w:pPr>
      <w:r w:rsidRPr="008F4348">
        <w:rPr>
          <w:rStyle w:val="FootnoteReference"/>
          <w:rFonts w:ascii="Book Antiqua" w:hAnsi="Book Antiqua"/>
          <w:sz w:val="20"/>
          <w:szCs w:val="20"/>
        </w:rPr>
        <w:footnoteRef/>
      </w:r>
      <w:r w:rsidRPr="008F4348">
        <w:rPr>
          <w:rFonts w:ascii="Book Antiqua" w:hAnsi="Book Antiqua"/>
          <w:sz w:val="20"/>
          <w:szCs w:val="20"/>
        </w:rPr>
        <w:t xml:space="preserve"> </w:t>
      </w:r>
      <w:r w:rsidRPr="008F4348">
        <w:rPr>
          <w:rFonts w:ascii="Book Antiqua" w:eastAsia="Calibri" w:hAnsi="Book Antiqua"/>
          <w:sz w:val="20"/>
          <w:szCs w:val="20"/>
        </w:rPr>
        <w:t xml:space="preserve">Cochrane, de Gruchy, and Petersen, </w:t>
      </w:r>
      <w:r w:rsidRPr="008F4348">
        <w:rPr>
          <w:rFonts w:ascii="Book Antiqua" w:eastAsia="Calibri" w:hAnsi="Book Antiqua"/>
          <w:i/>
          <w:iCs/>
          <w:sz w:val="20"/>
          <w:szCs w:val="20"/>
        </w:rPr>
        <w:t>In Word and Deed</w:t>
      </w:r>
      <w:r w:rsidR="00F65CF1">
        <w:rPr>
          <w:rFonts w:ascii="Book Antiqua" w:eastAsia="Calibri" w:hAnsi="Book Antiqua"/>
          <w:i/>
          <w:iCs/>
          <w:sz w:val="20"/>
          <w:szCs w:val="20"/>
        </w:rPr>
        <w:t>.</w:t>
      </w:r>
    </w:p>
  </w:footnote>
  <w:footnote w:id="47">
    <w:p w14:paraId="3B92BC77" w14:textId="0BC6726C" w:rsidR="00F97A55" w:rsidRPr="008F4348" w:rsidRDefault="00F97A55" w:rsidP="00470D7A">
      <w:pPr>
        <w:spacing w:after="0" w:line="240" w:lineRule="auto"/>
        <w:jc w:val="both"/>
        <w:rPr>
          <w:rFonts w:ascii="Book Antiqua" w:eastAsia="Calibri" w:hAnsi="Book Antiqua"/>
          <w:sz w:val="20"/>
          <w:szCs w:val="20"/>
        </w:rPr>
      </w:pPr>
      <w:r w:rsidRPr="008F4348">
        <w:rPr>
          <w:rStyle w:val="FootnoteReference"/>
          <w:rFonts w:ascii="Book Antiqua" w:hAnsi="Book Antiqua"/>
          <w:sz w:val="20"/>
          <w:szCs w:val="20"/>
        </w:rPr>
        <w:footnoteRef/>
      </w:r>
      <w:r w:rsidRPr="008F4348">
        <w:rPr>
          <w:rFonts w:ascii="Book Antiqua" w:hAnsi="Book Antiqua"/>
          <w:sz w:val="20"/>
          <w:szCs w:val="20"/>
        </w:rPr>
        <w:t xml:space="preserve"> </w:t>
      </w:r>
      <w:r w:rsidRPr="008F4348">
        <w:rPr>
          <w:rFonts w:ascii="Book Antiqua" w:eastAsia="Calibri" w:hAnsi="Book Antiqua"/>
          <w:sz w:val="20"/>
          <w:szCs w:val="20"/>
        </w:rPr>
        <w:t xml:space="preserve">Jürgen Moltmann, </w:t>
      </w:r>
      <w:r w:rsidRPr="008F4348">
        <w:rPr>
          <w:rFonts w:ascii="Book Antiqua" w:eastAsia="Calibri" w:hAnsi="Book Antiqua"/>
          <w:i/>
          <w:iCs/>
          <w:sz w:val="20"/>
          <w:szCs w:val="20"/>
        </w:rPr>
        <w:t>God in Creation: A New Theology of Creation and the Spirit of God</w:t>
      </w:r>
      <w:r w:rsidRPr="008F4348">
        <w:rPr>
          <w:rFonts w:ascii="Book Antiqua" w:eastAsia="Calibri" w:hAnsi="Book Antiqua"/>
          <w:sz w:val="20"/>
          <w:szCs w:val="20"/>
        </w:rPr>
        <w:t>, trans. Margaret Kohl (London: SCM Press, 1985).</w:t>
      </w:r>
    </w:p>
  </w:footnote>
  <w:footnote w:id="48">
    <w:p w14:paraId="3CDB2CD7" w14:textId="16E935ED" w:rsidR="00F97A55" w:rsidRPr="008F4348" w:rsidRDefault="00F97A55" w:rsidP="00BA6477">
      <w:pPr>
        <w:spacing w:after="0" w:line="240" w:lineRule="auto"/>
        <w:jc w:val="both"/>
        <w:rPr>
          <w:rFonts w:ascii="Book Antiqua" w:eastAsia="Calibri" w:hAnsi="Book Antiqua"/>
          <w:sz w:val="20"/>
          <w:szCs w:val="20"/>
        </w:rPr>
      </w:pPr>
      <w:r w:rsidRPr="008F4348">
        <w:rPr>
          <w:rStyle w:val="FootnoteReference"/>
          <w:rFonts w:ascii="Book Antiqua" w:hAnsi="Book Antiqua"/>
          <w:sz w:val="20"/>
          <w:szCs w:val="20"/>
        </w:rPr>
        <w:footnoteRef/>
      </w:r>
      <w:r w:rsidRPr="008F4348">
        <w:rPr>
          <w:rFonts w:ascii="Book Antiqua" w:hAnsi="Book Antiqua"/>
          <w:sz w:val="20"/>
          <w:szCs w:val="20"/>
        </w:rPr>
        <w:t xml:space="preserve"> </w:t>
      </w:r>
      <w:r w:rsidRPr="008F4348">
        <w:rPr>
          <w:rFonts w:ascii="Book Antiqua" w:eastAsia="Calibri" w:hAnsi="Book Antiqua"/>
          <w:sz w:val="20"/>
          <w:szCs w:val="20"/>
        </w:rPr>
        <w:t xml:space="preserve">Mark S. Medley, </w:t>
      </w:r>
      <w:r w:rsidRPr="008F4348">
        <w:rPr>
          <w:rFonts w:ascii="Book Antiqua" w:eastAsia="Calibri" w:hAnsi="Book Antiqua"/>
          <w:i/>
          <w:iCs/>
          <w:sz w:val="20"/>
          <w:szCs w:val="20"/>
        </w:rPr>
        <w:t>Imago Trinitatis: Toward a Relational Understanding of Becoming Human</w:t>
      </w:r>
      <w:r w:rsidRPr="008F4348">
        <w:rPr>
          <w:rFonts w:ascii="Book Antiqua" w:eastAsia="Calibri" w:hAnsi="Book Antiqua"/>
          <w:sz w:val="20"/>
          <w:szCs w:val="20"/>
        </w:rPr>
        <w:t xml:space="preserve"> (Lanham, MD: University Press of America, 2002).</w:t>
      </w:r>
    </w:p>
  </w:footnote>
  <w:footnote w:id="49">
    <w:p w14:paraId="44E6EF7A" w14:textId="1908F640" w:rsidR="00F97A55" w:rsidRPr="008F4348" w:rsidRDefault="00F97A55" w:rsidP="00BA6477">
      <w:pPr>
        <w:spacing w:after="0" w:line="240" w:lineRule="auto"/>
        <w:jc w:val="both"/>
        <w:rPr>
          <w:rFonts w:ascii="Book Antiqua" w:eastAsia="Calibri" w:hAnsi="Book Antiqua"/>
          <w:sz w:val="20"/>
          <w:szCs w:val="20"/>
        </w:rPr>
      </w:pPr>
      <w:r w:rsidRPr="008F4348">
        <w:rPr>
          <w:rStyle w:val="FootnoteReference"/>
          <w:rFonts w:ascii="Book Antiqua" w:hAnsi="Book Antiqua"/>
          <w:sz w:val="20"/>
          <w:szCs w:val="20"/>
        </w:rPr>
        <w:footnoteRef/>
      </w:r>
      <w:r w:rsidRPr="008F4348">
        <w:rPr>
          <w:rFonts w:ascii="Book Antiqua" w:hAnsi="Book Antiqua"/>
          <w:sz w:val="20"/>
          <w:szCs w:val="20"/>
        </w:rPr>
        <w:t xml:space="preserve"> </w:t>
      </w:r>
      <w:r w:rsidRPr="008F4348">
        <w:rPr>
          <w:rFonts w:ascii="Book Antiqua" w:eastAsia="Calibri" w:hAnsi="Book Antiqua"/>
          <w:sz w:val="20"/>
          <w:szCs w:val="20"/>
        </w:rPr>
        <w:t xml:space="preserve">Moltmann, </w:t>
      </w:r>
      <w:r w:rsidRPr="008F4348">
        <w:rPr>
          <w:rFonts w:ascii="Book Antiqua" w:eastAsia="Calibri" w:hAnsi="Book Antiqua"/>
          <w:i/>
          <w:iCs/>
          <w:sz w:val="20"/>
          <w:szCs w:val="20"/>
        </w:rPr>
        <w:t>God in Creation</w:t>
      </w:r>
      <w:r w:rsidRPr="008F4348">
        <w:rPr>
          <w:rFonts w:ascii="Book Antiqua" w:eastAsia="Calibri" w:hAnsi="Book Antiqua"/>
          <w:sz w:val="20"/>
          <w:szCs w:val="20"/>
        </w:rPr>
        <w:t>.</w:t>
      </w:r>
    </w:p>
  </w:footnote>
  <w:footnote w:id="50">
    <w:p w14:paraId="7FCBB8E6" w14:textId="0CF7BBB8" w:rsidR="005A537E" w:rsidRPr="008F4348" w:rsidRDefault="005A537E" w:rsidP="00BA6477">
      <w:pPr>
        <w:spacing w:after="0" w:line="240" w:lineRule="auto"/>
        <w:rPr>
          <w:rFonts w:ascii="Book Antiqua" w:eastAsia="Calibri" w:hAnsi="Book Antiqua"/>
          <w:sz w:val="20"/>
          <w:szCs w:val="20"/>
        </w:rPr>
      </w:pPr>
      <w:r w:rsidRPr="008F4348">
        <w:rPr>
          <w:rStyle w:val="FootnoteReference"/>
          <w:rFonts w:ascii="Book Antiqua" w:hAnsi="Book Antiqua"/>
          <w:sz w:val="20"/>
          <w:szCs w:val="20"/>
        </w:rPr>
        <w:footnoteRef/>
      </w:r>
      <w:r w:rsidRPr="008F4348">
        <w:rPr>
          <w:rFonts w:ascii="Book Antiqua" w:hAnsi="Book Antiqua"/>
          <w:sz w:val="20"/>
          <w:szCs w:val="20"/>
        </w:rPr>
        <w:t xml:space="preserve"> </w:t>
      </w:r>
      <w:r w:rsidRPr="008F4348">
        <w:rPr>
          <w:rFonts w:ascii="Book Antiqua" w:eastAsia="Calibri" w:hAnsi="Book Antiqua"/>
          <w:sz w:val="20"/>
          <w:szCs w:val="20"/>
        </w:rPr>
        <w:t xml:space="preserve">Moltmann, </w:t>
      </w:r>
      <w:r w:rsidRPr="008F4348">
        <w:rPr>
          <w:rFonts w:ascii="Book Antiqua" w:eastAsia="Calibri" w:hAnsi="Book Antiqua"/>
          <w:i/>
          <w:iCs/>
          <w:sz w:val="20"/>
          <w:szCs w:val="20"/>
        </w:rPr>
        <w:t>History and the Triune God</w:t>
      </w:r>
      <w:r w:rsidRPr="008F4348">
        <w:rPr>
          <w:rFonts w:ascii="Book Antiqua" w:eastAsia="Calibri" w:hAnsi="Book Antiqua"/>
          <w:sz w:val="20"/>
          <w:szCs w:val="20"/>
        </w:rPr>
        <w:t>.</w:t>
      </w:r>
    </w:p>
  </w:footnote>
  <w:footnote w:id="51">
    <w:p w14:paraId="11247DF2" w14:textId="754F76D5" w:rsidR="00F97A55" w:rsidRPr="008F4348" w:rsidRDefault="00F97A55" w:rsidP="00BA6477">
      <w:pPr>
        <w:spacing w:after="0" w:line="240" w:lineRule="auto"/>
        <w:rPr>
          <w:rFonts w:ascii="Book Antiqua" w:eastAsia="Calibri" w:hAnsi="Book Antiqua"/>
          <w:sz w:val="20"/>
          <w:szCs w:val="20"/>
        </w:rPr>
      </w:pPr>
      <w:r w:rsidRPr="008F4348">
        <w:rPr>
          <w:rStyle w:val="FootnoteReference"/>
          <w:rFonts w:ascii="Book Antiqua" w:hAnsi="Book Antiqua"/>
          <w:sz w:val="20"/>
          <w:szCs w:val="20"/>
        </w:rPr>
        <w:footnoteRef/>
      </w:r>
      <w:r w:rsidRPr="008F4348">
        <w:rPr>
          <w:rFonts w:ascii="Book Antiqua" w:hAnsi="Book Antiqua"/>
          <w:sz w:val="20"/>
          <w:szCs w:val="20"/>
        </w:rPr>
        <w:t xml:space="preserve"> </w:t>
      </w:r>
      <w:r w:rsidRPr="008F4348">
        <w:rPr>
          <w:rFonts w:ascii="Book Antiqua" w:eastAsia="Calibri" w:hAnsi="Book Antiqua"/>
          <w:sz w:val="20"/>
          <w:szCs w:val="20"/>
        </w:rPr>
        <w:t xml:space="preserve">Moltmann, </w:t>
      </w:r>
      <w:r w:rsidRPr="008F4348">
        <w:rPr>
          <w:rFonts w:ascii="Book Antiqua" w:eastAsia="Calibri" w:hAnsi="Book Antiqua"/>
          <w:i/>
          <w:iCs/>
          <w:sz w:val="20"/>
          <w:szCs w:val="20"/>
        </w:rPr>
        <w:t>God in Creation</w:t>
      </w:r>
      <w:r w:rsidRPr="008F4348">
        <w:rPr>
          <w:rFonts w:ascii="Book Antiqua" w:eastAsia="Calibri" w:hAnsi="Book Antiqua"/>
          <w:sz w:val="20"/>
          <w:szCs w:val="20"/>
        </w:rPr>
        <w:t>.</w:t>
      </w:r>
    </w:p>
  </w:footnote>
  <w:footnote w:id="52">
    <w:p w14:paraId="4A7DEE8D" w14:textId="59B88B5F" w:rsidR="005A537E" w:rsidRPr="008F4348" w:rsidRDefault="005A537E" w:rsidP="00BA6477">
      <w:pPr>
        <w:spacing w:after="0" w:line="240" w:lineRule="auto"/>
        <w:jc w:val="both"/>
        <w:rPr>
          <w:rFonts w:ascii="Book Antiqua" w:eastAsia="Calibri" w:hAnsi="Book Antiqua"/>
          <w:sz w:val="20"/>
          <w:szCs w:val="20"/>
        </w:rPr>
      </w:pPr>
      <w:r w:rsidRPr="008F4348">
        <w:rPr>
          <w:rStyle w:val="FootnoteReference"/>
          <w:rFonts w:ascii="Book Antiqua" w:hAnsi="Book Antiqua"/>
          <w:sz w:val="20"/>
          <w:szCs w:val="20"/>
        </w:rPr>
        <w:footnoteRef/>
      </w:r>
      <w:r w:rsidRPr="008F4348">
        <w:rPr>
          <w:rFonts w:ascii="Book Antiqua" w:hAnsi="Book Antiqua"/>
          <w:sz w:val="20"/>
          <w:szCs w:val="20"/>
        </w:rPr>
        <w:t xml:space="preserve"> </w:t>
      </w:r>
      <w:r w:rsidRPr="008F4348">
        <w:rPr>
          <w:rFonts w:ascii="Book Antiqua" w:eastAsia="Calibri" w:hAnsi="Book Antiqua"/>
          <w:sz w:val="20"/>
          <w:szCs w:val="20"/>
        </w:rPr>
        <w:t xml:space="preserve">Catherine Mowry LaCugna, </w:t>
      </w:r>
      <w:r w:rsidRPr="008F4348">
        <w:rPr>
          <w:rFonts w:ascii="Book Antiqua" w:eastAsia="Calibri" w:hAnsi="Book Antiqua"/>
          <w:i/>
          <w:iCs/>
          <w:sz w:val="20"/>
          <w:szCs w:val="20"/>
        </w:rPr>
        <w:t>God for Us: The Trinity and Christian Life</w:t>
      </w:r>
      <w:r w:rsidRPr="008F4348">
        <w:rPr>
          <w:rFonts w:ascii="Book Antiqua" w:eastAsia="Calibri" w:hAnsi="Book Antiqua"/>
          <w:sz w:val="20"/>
          <w:szCs w:val="20"/>
        </w:rPr>
        <w:t xml:space="preserve"> (San Francisco</w:t>
      </w:r>
      <w:r w:rsidR="00F65CF1">
        <w:rPr>
          <w:rFonts w:ascii="Book Antiqua" w:eastAsia="Calibri" w:hAnsi="Book Antiqua"/>
          <w:sz w:val="20"/>
          <w:szCs w:val="20"/>
        </w:rPr>
        <w:t>, CA</w:t>
      </w:r>
      <w:r w:rsidRPr="008F4348">
        <w:rPr>
          <w:rFonts w:ascii="Book Antiqua" w:eastAsia="Calibri" w:hAnsi="Book Antiqua"/>
          <w:sz w:val="20"/>
          <w:szCs w:val="20"/>
        </w:rPr>
        <w:t>: Harper, 1991).</w:t>
      </w:r>
    </w:p>
  </w:footnote>
  <w:footnote w:id="53">
    <w:p w14:paraId="431AB1B5" w14:textId="626F298D" w:rsidR="005A537E" w:rsidRPr="008F4348" w:rsidRDefault="005A537E" w:rsidP="00BA6477">
      <w:pPr>
        <w:spacing w:after="0" w:line="240" w:lineRule="auto"/>
        <w:jc w:val="both"/>
        <w:rPr>
          <w:rFonts w:ascii="Book Antiqua" w:eastAsia="Calibri" w:hAnsi="Book Antiqua"/>
          <w:sz w:val="20"/>
          <w:szCs w:val="20"/>
        </w:rPr>
      </w:pPr>
      <w:r w:rsidRPr="008F4348">
        <w:rPr>
          <w:rStyle w:val="FootnoteReference"/>
          <w:rFonts w:ascii="Book Antiqua" w:hAnsi="Book Antiqua"/>
          <w:sz w:val="20"/>
          <w:szCs w:val="20"/>
        </w:rPr>
        <w:footnoteRef/>
      </w:r>
      <w:r w:rsidRPr="008F4348">
        <w:rPr>
          <w:rFonts w:ascii="Book Antiqua" w:hAnsi="Book Antiqua"/>
          <w:sz w:val="20"/>
          <w:szCs w:val="20"/>
        </w:rPr>
        <w:t xml:space="preserve"> </w:t>
      </w:r>
      <w:r w:rsidRPr="008F4348">
        <w:rPr>
          <w:rFonts w:ascii="Book Antiqua" w:eastAsia="Calibri" w:hAnsi="Book Antiqua"/>
          <w:sz w:val="20"/>
          <w:szCs w:val="20"/>
        </w:rPr>
        <w:t xml:space="preserve">Nelson Mandela, </w:t>
      </w:r>
      <w:r w:rsidRPr="008F4348">
        <w:rPr>
          <w:rFonts w:ascii="Book Antiqua" w:eastAsia="Calibri" w:hAnsi="Book Antiqua"/>
          <w:i/>
          <w:iCs/>
          <w:sz w:val="20"/>
          <w:szCs w:val="20"/>
        </w:rPr>
        <w:t>Long Walk to Freedom: The Autobiography of Nelson Mandela</w:t>
      </w:r>
      <w:r w:rsidRPr="008F4348">
        <w:rPr>
          <w:rFonts w:ascii="Book Antiqua" w:eastAsia="Calibri" w:hAnsi="Book Antiqua"/>
          <w:sz w:val="20"/>
          <w:szCs w:val="20"/>
        </w:rPr>
        <w:t xml:space="preserve"> (Boston</w:t>
      </w:r>
      <w:r w:rsidR="00AC2713" w:rsidRPr="008F4348">
        <w:rPr>
          <w:rFonts w:ascii="Book Antiqua" w:eastAsia="Calibri" w:hAnsi="Book Antiqua"/>
          <w:sz w:val="20"/>
          <w:szCs w:val="20"/>
        </w:rPr>
        <w:t>, MA</w:t>
      </w:r>
      <w:r w:rsidRPr="008F4348">
        <w:rPr>
          <w:rFonts w:ascii="Book Antiqua" w:eastAsia="Calibri" w:hAnsi="Book Antiqua"/>
          <w:sz w:val="20"/>
          <w:szCs w:val="20"/>
        </w:rPr>
        <w:t>: Little, Brown, 199</w:t>
      </w:r>
      <w:r w:rsidR="00AC2713" w:rsidRPr="008F4348">
        <w:rPr>
          <w:rFonts w:ascii="Book Antiqua" w:eastAsia="Calibri" w:hAnsi="Book Antiqua"/>
          <w:sz w:val="20"/>
          <w:szCs w:val="20"/>
        </w:rPr>
        <w:t>4</w:t>
      </w:r>
      <w:r w:rsidRPr="008F4348">
        <w:rPr>
          <w:rFonts w:ascii="Book Antiqua" w:eastAsia="Calibri" w:hAnsi="Book Antiqua"/>
          <w:sz w:val="20"/>
          <w:szCs w:val="20"/>
        </w:rPr>
        <w:t>).</w:t>
      </w:r>
    </w:p>
  </w:footnote>
  <w:footnote w:id="54">
    <w:p w14:paraId="7BA20FF8" w14:textId="328FA257" w:rsidR="00BA6477" w:rsidRPr="008F4348" w:rsidRDefault="00BA6477" w:rsidP="00BA6477">
      <w:pPr>
        <w:spacing w:after="0" w:line="240" w:lineRule="auto"/>
        <w:jc w:val="both"/>
        <w:rPr>
          <w:rFonts w:ascii="Book Antiqua" w:eastAsia="Times New Roman" w:hAnsi="Book Antiqua"/>
          <w:sz w:val="20"/>
          <w:szCs w:val="20"/>
          <w:lang w:val="af-ZA" w:eastAsia="af-ZA"/>
        </w:rPr>
      </w:pPr>
      <w:r w:rsidRPr="008F4348">
        <w:rPr>
          <w:rStyle w:val="FootnoteReference"/>
          <w:rFonts w:ascii="Book Antiqua" w:hAnsi="Book Antiqua"/>
          <w:sz w:val="20"/>
          <w:szCs w:val="20"/>
        </w:rPr>
        <w:footnoteRef/>
      </w:r>
      <w:r w:rsidRPr="008F4348">
        <w:rPr>
          <w:rFonts w:ascii="Book Antiqua" w:hAnsi="Book Antiqua"/>
          <w:sz w:val="20"/>
          <w:szCs w:val="20"/>
        </w:rPr>
        <w:t xml:space="preserve"> </w:t>
      </w:r>
      <w:r w:rsidRPr="008F4348">
        <w:rPr>
          <w:rFonts w:ascii="Book Antiqua" w:eastAsia="Times New Roman" w:hAnsi="Book Antiqua"/>
          <w:sz w:val="20"/>
          <w:szCs w:val="20"/>
          <w:lang w:val="af-ZA" w:eastAsia="af-ZA"/>
        </w:rPr>
        <w:t xml:space="preserve">Dirk J. Smit, “Trinity, History—and Discernment?” </w:t>
      </w:r>
      <w:r w:rsidRPr="008F4348">
        <w:rPr>
          <w:rFonts w:ascii="Book Antiqua" w:eastAsia="Times New Roman" w:hAnsi="Book Antiqua"/>
          <w:i/>
          <w:iCs/>
          <w:sz w:val="20"/>
          <w:szCs w:val="20"/>
          <w:lang w:val="af-ZA" w:eastAsia="af-ZA"/>
        </w:rPr>
        <w:t>Nederduitse Gereformeerde Teologiese Tydskrif</w:t>
      </w:r>
      <w:r w:rsidRPr="008F4348">
        <w:rPr>
          <w:rFonts w:ascii="Book Antiqua" w:eastAsia="Times New Roman" w:hAnsi="Book Antiqua"/>
          <w:sz w:val="20"/>
          <w:szCs w:val="20"/>
          <w:lang w:val="af-ZA" w:eastAsia="af-ZA"/>
        </w:rPr>
        <w:t xml:space="preserve"> 53, nos. 3–4 (2012): 337–352, </w:t>
      </w:r>
      <w:hyperlink r:id="rId7" w:history="1">
        <w:r w:rsidRPr="008F4348">
          <w:rPr>
            <w:rFonts w:ascii="Book Antiqua" w:eastAsia="Times New Roman" w:hAnsi="Book Antiqua"/>
            <w:sz w:val="20"/>
            <w:szCs w:val="20"/>
            <w:lang w:val="af-ZA" w:eastAsia="af-ZA"/>
          </w:rPr>
          <w:t>https://doi.org/10.5952/53-3-4-273</w:t>
        </w:r>
      </w:hyperlink>
      <w:r w:rsidRPr="008F4348">
        <w:rPr>
          <w:rFonts w:ascii="Book Antiqua" w:eastAsia="Times New Roman" w:hAnsi="Book Antiqua"/>
          <w:sz w:val="20"/>
          <w:szCs w:val="20"/>
          <w:lang w:val="af-ZA" w:eastAsia="af-ZA"/>
        </w:rPr>
        <w:t>. (</w:t>
      </w:r>
      <w:hyperlink r:id="rId8" w:tooltip="Trinity, history – and discernment? | NGTT is now Stellenbosch Theological Journal (STJ)" w:history="1">
        <w:r w:rsidRPr="008F4348">
          <w:rPr>
            <w:rFonts w:ascii="Book Antiqua" w:eastAsia="Times New Roman" w:hAnsi="Book Antiqua"/>
            <w:sz w:val="20"/>
            <w:szCs w:val="20"/>
            <w:lang w:val="af-ZA" w:eastAsia="af-ZA"/>
          </w:rPr>
          <w:t>NGTT</w:t>
        </w:r>
      </w:hyperlink>
      <w:r w:rsidRPr="008F4348">
        <w:rPr>
          <w:rFonts w:ascii="Book Antiqua" w:eastAsia="Times New Roman" w:hAnsi="Book Antiqua"/>
          <w:sz w:val="20"/>
          <w:szCs w:val="20"/>
          <w:lang w:val="af-ZA" w:eastAsia="af-ZA"/>
        </w:rPr>
        <w:t>)</w:t>
      </w:r>
    </w:p>
  </w:footnote>
  <w:footnote w:id="55">
    <w:p w14:paraId="505C2B07" w14:textId="362F4ED7" w:rsidR="008F3EB4" w:rsidRPr="008F4348" w:rsidRDefault="008F3EB4" w:rsidP="00BA6477">
      <w:pPr>
        <w:spacing w:after="0" w:line="240" w:lineRule="auto"/>
        <w:jc w:val="both"/>
        <w:rPr>
          <w:rFonts w:ascii="Book Antiqua" w:eastAsia="Calibri" w:hAnsi="Book Antiqua"/>
          <w:sz w:val="20"/>
          <w:szCs w:val="20"/>
        </w:rPr>
      </w:pPr>
      <w:r w:rsidRPr="008F4348">
        <w:rPr>
          <w:rStyle w:val="FootnoteReference"/>
          <w:rFonts w:ascii="Book Antiqua" w:hAnsi="Book Antiqua"/>
          <w:sz w:val="20"/>
          <w:szCs w:val="20"/>
        </w:rPr>
        <w:footnoteRef/>
      </w:r>
      <w:r w:rsidRPr="008F4348">
        <w:rPr>
          <w:rFonts w:ascii="Book Antiqua" w:hAnsi="Book Antiqua"/>
          <w:sz w:val="20"/>
          <w:szCs w:val="20"/>
        </w:rPr>
        <w:t xml:space="preserve"> </w:t>
      </w:r>
      <w:r w:rsidRPr="008F4348">
        <w:rPr>
          <w:rFonts w:ascii="Book Antiqua" w:eastAsia="Calibri" w:hAnsi="Book Antiqua"/>
          <w:sz w:val="20"/>
          <w:szCs w:val="20"/>
        </w:rPr>
        <w:t xml:space="preserve">Annemie Dillen, “Can Parents and Children Be Friends? A Relational-Theological Exploration of the Asymmetry and Mutuality Between Parents and Children,” </w:t>
      </w:r>
      <w:r w:rsidRPr="008F4348">
        <w:rPr>
          <w:rFonts w:ascii="Book Antiqua" w:eastAsia="Calibri" w:hAnsi="Book Antiqua"/>
          <w:i/>
          <w:iCs/>
          <w:sz w:val="20"/>
          <w:szCs w:val="20"/>
        </w:rPr>
        <w:t>Journal of Empirical Theology</w:t>
      </w:r>
      <w:r w:rsidRPr="008F4348">
        <w:rPr>
          <w:rFonts w:ascii="Book Antiqua" w:eastAsia="Calibri" w:hAnsi="Book Antiqua"/>
          <w:sz w:val="20"/>
          <w:szCs w:val="20"/>
        </w:rPr>
        <w:t xml:space="preserve"> 24 (2011): 199–216.</w:t>
      </w:r>
    </w:p>
  </w:footnote>
  <w:footnote w:id="56">
    <w:p w14:paraId="2CFEAFB8" w14:textId="4B53A22C" w:rsidR="00BA6477" w:rsidRPr="008F4348" w:rsidRDefault="00BA6477" w:rsidP="00BA6477">
      <w:pPr>
        <w:spacing w:after="0" w:line="240" w:lineRule="auto"/>
        <w:jc w:val="both"/>
        <w:rPr>
          <w:rFonts w:ascii="Book Antiqua" w:eastAsia="Calibri" w:hAnsi="Book Antiqua"/>
          <w:kern w:val="2"/>
          <w:sz w:val="20"/>
          <w:szCs w:val="20"/>
          <w14:ligatures w14:val="standardContextual"/>
        </w:rPr>
      </w:pPr>
      <w:r w:rsidRPr="008F4348">
        <w:rPr>
          <w:rStyle w:val="FootnoteReference"/>
          <w:rFonts w:ascii="Book Antiqua" w:hAnsi="Book Antiqua"/>
          <w:sz w:val="20"/>
          <w:szCs w:val="20"/>
        </w:rPr>
        <w:footnoteRef/>
      </w:r>
      <w:r w:rsidRPr="008F4348">
        <w:rPr>
          <w:rFonts w:ascii="Book Antiqua" w:hAnsi="Book Antiqua"/>
          <w:sz w:val="20"/>
          <w:szCs w:val="20"/>
        </w:rPr>
        <w:t xml:space="preserve"> </w:t>
      </w:r>
      <w:r w:rsidRPr="008F4348">
        <w:rPr>
          <w:rFonts w:ascii="Book Antiqua" w:eastAsia="Calibri" w:hAnsi="Book Antiqua"/>
          <w:kern w:val="2"/>
          <w:sz w:val="20"/>
          <w:szCs w:val="20"/>
          <w14:ligatures w14:val="standardContextual"/>
        </w:rPr>
        <w:t>Dillen, “Can Parents and Children Be Friends?” 199–216.</w:t>
      </w:r>
    </w:p>
  </w:footnote>
  <w:footnote w:id="57">
    <w:p w14:paraId="3E672A1F" w14:textId="280394EC" w:rsidR="008F3EB4" w:rsidRPr="008F4348" w:rsidRDefault="008F3EB4" w:rsidP="0071382C">
      <w:pPr>
        <w:spacing w:after="0" w:line="240" w:lineRule="auto"/>
        <w:jc w:val="both"/>
        <w:rPr>
          <w:rFonts w:ascii="Book Antiqua" w:eastAsia="Calibri" w:hAnsi="Book Antiqua"/>
          <w:sz w:val="20"/>
          <w:szCs w:val="20"/>
        </w:rPr>
      </w:pPr>
      <w:r w:rsidRPr="008F4348">
        <w:rPr>
          <w:rStyle w:val="FootnoteReference"/>
          <w:rFonts w:ascii="Book Antiqua" w:hAnsi="Book Antiqua"/>
          <w:sz w:val="20"/>
          <w:szCs w:val="20"/>
        </w:rPr>
        <w:footnoteRef/>
      </w:r>
      <w:r w:rsidRPr="008F4348">
        <w:rPr>
          <w:rFonts w:ascii="Book Antiqua" w:hAnsi="Book Antiqua"/>
          <w:sz w:val="20"/>
          <w:szCs w:val="20"/>
        </w:rPr>
        <w:t xml:space="preserve"> </w:t>
      </w:r>
      <w:r w:rsidRPr="008F4348">
        <w:rPr>
          <w:rFonts w:ascii="Book Antiqua" w:eastAsia="Calibri" w:hAnsi="Book Antiqua"/>
          <w:sz w:val="20"/>
          <w:szCs w:val="20"/>
        </w:rPr>
        <w:t>Dillen, “Can Parents and Children Be Friends?” 199–216.</w:t>
      </w:r>
    </w:p>
  </w:footnote>
  <w:footnote w:id="58">
    <w:p w14:paraId="0EB36606" w14:textId="605D7709" w:rsidR="008F3EB4" w:rsidRPr="008F4348" w:rsidRDefault="008F3EB4" w:rsidP="00ED768A">
      <w:pPr>
        <w:spacing w:after="0" w:line="240" w:lineRule="auto"/>
        <w:rPr>
          <w:rFonts w:ascii="Book Antiqua" w:eastAsia="Calibri" w:hAnsi="Book Antiqua"/>
          <w:sz w:val="20"/>
          <w:szCs w:val="20"/>
        </w:rPr>
      </w:pPr>
      <w:r w:rsidRPr="008F4348">
        <w:rPr>
          <w:rStyle w:val="FootnoteReference"/>
          <w:rFonts w:ascii="Book Antiqua" w:hAnsi="Book Antiqua"/>
          <w:sz w:val="20"/>
          <w:szCs w:val="20"/>
        </w:rPr>
        <w:footnoteRef/>
      </w:r>
      <w:r w:rsidRPr="008F4348">
        <w:rPr>
          <w:rFonts w:ascii="Book Antiqua" w:hAnsi="Book Antiqua"/>
          <w:sz w:val="20"/>
          <w:szCs w:val="20"/>
        </w:rPr>
        <w:t xml:space="preserve"> </w:t>
      </w:r>
      <w:r w:rsidRPr="008F4348">
        <w:rPr>
          <w:rFonts w:ascii="Book Antiqua" w:eastAsia="Calibri" w:hAnsi="Book Antiqua"/>
          <w:sz w:val="20"/>
          <w:szCs w:val="20"/>
        </w:rPr>
        <w:t>Dillen, “Can Parents and Children Be Friends?” 199–216.</w:t>
      </w:r>
    </w:p>
  </w:footnote>
  <w:footnote w:id="59">
    <w:p w14:paraId="44861650" w14:textId="7CAC706E" w:rsidR="00D313FE" w:rsidRPr="008F4348" w:rsidRDefault="00D313FE" w:rsidP="00ED768A">
      <w:pPr>
        <w:spacing w:after="0" w:line="240" w:lineRule="auto"/>
        <w:rPr>
          <w:rFonts w:ascii="Book Antiqua" w:eastAsia="Calibri" w:hAnsi="Book Antiqua"/>
          <w:sz w:val="20"/>
          <w:szCs w:val="20"/>
        </w:rPr>
      </w:pPr>
      <w:r w:rsidRPr="008F4348">
        <w:rPr>
          <w:rStyle w:val="FootnoteReference"/>
          <w:rFonts w:ascii="Book Antiqua" w:hAnsi="Book Antiqua"/>
          <w:sz w:val="20"/>
          <w:szCs w:val="20"/>
        </w:rPr>
        <w:footnoteRef/>
      </w:r>
      <w:r w:rsidRPr="008F4348">
        <w:rPr>
          <w:rFonts w:ascii="Book Antiqua" w:hAnsi="Book Antiqua"/>
          <w:sz w:val="20"/>
          <w:szCs w:val="20"/>
        </w:rPr>
        <w:t xml:space="preserve"> </w:t>
      </w:r>
      <w:r w:rsidRPr="008F4348">
        <w:rPr>
          <w:rFonts w:ascii="Book Antiqua" w:eastAsia="Calibri" w:hAnsi="Book Antiqua"/>
          <w:sz w:val="20"/>
          <w:szCs w:val="20"/>
        </w:rPr>
        <w:t xml:space="preserve">Moltmann, </w:t>
      </w:r>
      <w:r w:rsidRPr="008F4348">
        <w:rPr>
          <w:rFonts w:ascii="Book Antiqua" w:eastAsia="Calibri" w:hAnsi="Book Antiqua"/>
          <w:i/>
          <w:iCs/>
          <w:sz w:val="20"/>
          <w:szCs w:val="20"/>
        </w:rPr>
        <w:t>The Trinity and the Kingdom</w:t>
      </w:r>
      <w:r w:rsidRPr="008F4348">
        <w:rPr>
          <w:rFonts w:ascii="Book Antiqua" w:eastAsia="Calibri" w:hAnsi="Book Antiqua"/>
          <w:sz w:val="20"/>
          <w:szCs w:val="20"/>
        </w:rPr>
        <w:t>.</w:t>
      </w:r>
    </w:p>
  </w:footnote>
  <w:footnote w:id="60">
    <w:p w14:paraId="3E3B9C6E" w14:textId="284593B9" w:rsidR="00D313FE" w:rsidRPr="008F4348" w:rsidRDefault="00D313FE" w:rsidP="00ED768A">
      <w:pPr>
        <w:spacing w:after="0" w:line="240" w:lineRule="auto"/>
        <w:jc w:val="both"/>
        <w:rPr>
          <w:rFonts w:ascii="Book Antiqua" w:eastAsia="Calibri" w:hAnsi="Book Antiqua"/>
          <w:sz w:val="20"/>
          <w:szCs w:val="20"/>
        </w:rPr>
      </w:pPr>
      <w:r w:rsidRPr="008F4348">
        <w:rPr>
          <w:rStyle w:val="FootnoteReference"/>
          <w:rFonts w:ascii="Book Antiqua" w:hAnsi="Book Antiqua"/>
          <w:sz w:val="20"/>
          <w:szCs w:val="20"/>
        </w:rPr>
        <w:footnoteRef/>
      </w:r>
      <w:r w:rsidRPr="008F4348">
        <w:rPr>
          <w:rFonts w:ascii="Book Antiqua" w:hAnsi="Book Antiqua"/>
          <w:sz w:val="20"/>
          <w:szCs w:val="20"/>
        </w:rPr>
        <w:t xml:space="preserve"> </w:t>
      </w:r>
      <w:r w:rsidRPr="008F4348">
        <w:rPr>
          <w:rFonts w:ascii="Book Antiqua" w:eastAsia="Calibri" w:hAnsi="Book Antiqua"/>
          <w:sz w:val="20"/>
          <w:szCs w:val="20"/>
        </w:rPr>
        <w:t xml:space="preserve">Jürgen Moltmann, </w:t>
      </w:r>
      <w:r w:rsidRPr="008F4348">
        <w:rPr>
          <w:rFonts w:ascii="Book Antiqua" w:eastAsia="Calibri" w:hAnsi="Book Antiqua"/>
          <w:i/>
          <w:iCs/>
          <w:sz w:val="20"/>
          <w:szCs w:val="20"/>
        </w:rPr>
        <w:t>The Trinity and the Kingdom: The Doctrine of God</w:t>
      </w:r>
      <w:r w:rsidRPr="008F4348">
        <w:rPr>
          <w:rFonts w:ascii="Book Antiqua" w:eastAsia="Calibri" w:hAnsi="Book Antiqua"/>
          <w:sz w:val="20"/>
          <w:szCs w:val="20"/>
        </w:rPr>
        <w:t>, trans. Margaret Kohl (Minneapolis</w:t>
      </w:r>
      <w:r w:rsidR="00492417">
        <w:rPr>
          <w:rFonts w:ascii="Book Antiqua" w:eastAsia="Calibri" w:hAnsi="Book Antiqua"/>
          <w:sz w:val="20"/>
          <w:szCs w:val="20"/>
        </w:rPr>
        <w:t>, MN</w:t>
      </w:r>
      <w:r w:rsidRPr="008F4348">
        <w:rPr>
          <w:rFonts w:ascii="Book Antiqua" w:eastAsia="Calibri" w:hAnsi="Book Antiqua"/>
          <w:sz w:val="20"/>
          <w:szCs w:val="20"/>
        </w:rPr>
        <w:t>: Fortress Press, 1993).</w:t>
      </w:r>
    </w:p>
  </w:footnote>
  <w:footnote w:id="61">
    <w:p w14:paraId="243261CC" w14:textId="1F5ED498" w:rsidR="00ED768A" w:rsidRPr="008F4348" w:rsidRDefault="00ED768A" w:rsidP="00ED768A">
      <w:pPr>
        <w:spacing w:after="0" w:line="240" w:lineRule="auto"/>
        <w:rPr>
          <w:rFonts w:ascii="Book Antiqua" w:eastAsia="Times New Roman" w:hAnsi="Book Antiqua"/>
          <w:sz w:val="20"/>
          <w:szCs w:val="20"/>
          <w:lang w:val="af-ZA" w:eastAsia="af-ZA"/>
        </w:rPr>
      </w:pPr>
      <w:r w:rsidRPr="008F4348">
        <w:rPr>
          <w:rStyle w:val="FootnoteReference"/>
          <w:rFonts w:ascii="Book Antiqua" w:hAnsi="Book Antiqua"/>
          <w:sz w:val="20"/>
          <w:szCs w:val="20"/>
        </w:rPr>
        <w:footnoteRef/>
      </w:r>
      <w:r w:rsidRPr="008F4348">
        <w:rPr>
          <w:rFonts w:ascii="Book Antiqua" w:hAnsi="Book Antiqua"/>
          <w:sz w:val="20"/>
          <w:szCs w:val="20"/>
        </w:rPr>
        <w:t xml:space="preserve"> </w:t>
      </w:r>
      <w:r w:rsidRPr="008F4348">
        <w:rPr>
          <w:rFonts w:ascii="Book Antiqua" w:eastAsia="Times New Roman" w:hAnsi="Book Antiqua"/>
          <w:sz w:val="20"/>
          <w:szCs w:val="20"/>
          <w:lang w:val="af-ZA" w:eastAsia="af-ZA"/>
        </w:rPr>
        <w:t xml:space="preserve">Manitza Kotze and Carike Noeth, “Friendship as a Theological Model: Bonhoeffer, Moltmann and the Trinity,” </w:t>
      </w:r>
      <w:r w:rsidRPr="008F4348">
        <w:rPr>
          <w:rFonts w:ascii="Book Antiqua" w:eastAsia="Times New Roman" w:hAnsi="Book Antiqua"/>
          <w:i/>
          <w:iCs/>
          <w:sz w:val="20"/>
          <w:szCs w:val="20"/>
          <w:lang w:val="af-ZA" w:eastAsia="af-ZA"/>
        </w:rPr>
        <w:t>In die Skriflig/In Luce Verbi</w:t>
      </w:r>
      <w:r w:rsidRPr="008F4348">
        <w:rPr>
          <w:rFonts w:ascii="Book Antiqua" w:eastAsia="Times New Roman" w:hAnsi="Book Antiqua"/>
          <w:sz w:val="20"/>
          <w:szCs w:val="20"/>
          <w:lang w:val="af-ZA" w:eastAsia="af-ZA"/>
        </w:rPr>
        <w:t xml:space="preserve"> 53, no. 1 (2019): 1–7</w:t>
      </w:r>
      <w:r w:rsidR="005D5E62" w:rsidRPr="008F4348">
        <w:rPr>
          <w:rFonts w:ascii="Book Antiqua" w:eastAsia="Times New Roman" w:hAnsi="Book Antiqua"/>
          <w:sz w:val="20"/>
          <w:szCs w:val="20"/>
          <w:lang w:val="af-ZA" w:eastAsia="af-ZA"/>
        </w:rPr>
        <w:t>, https://doi.org/10.4102/ids.v53i1.2333</w:t>
      </w:r>
      <w:r w:rsidRPr="008F4348">
        <w:rPr>
          <w:rFonts w:ascii="Book Antiqua" w:eastAsia="Times New Roman" w:hAnsi="Book Antiqua"/>
          <w:sz w:val="20"/>
          <w:szCs w:val="20"/>
          <w:lang w:val="af-ZA" w:eastAsia="af-ZA"/>
        </w:rPr>
        <w:t>.</w:t>
      </w:r>
    </w:p>
  </w:footnote>
  <w:footnote w:id="62">
    <w:p w14:paraId="6B16E9BC" w14:textId="77777777" w:rsidR="00D313FE" w:rsidRPr="008F4348" w:rsidRDefault="00D313FE" w:rsidP="00ED768A">
      <w:pPr>
        <w:spacing w:after="0" w:line="240" w:lineRule="auto"/>
        <w:jc w:val="both"/>
        <w:rPr>
          <w:rFonts w:ascii="Book Antiqua" w:eastAsia="Calibri" w:hAnsi="Book Antiqua"/>
          <w:sz w:val="20"/>
          <w:szCs w:val="20"/>
        </w:rPr>
      </w:pPr>
      <w:r w:rsidRPr="008F4348">
        <w:rPr>
          <w:rStyle w:val="FootnoteReference"/>
          <w:rFonts w:ascii="Book Antiqua" w:hAnsi="Book Antiqua"/>
          <w:sz w:val="20"/>
          <w:szCs w:val="20"/>
        </w:rPr>
        <w:footnoteRef/>
      </w:r>
      <w:r w:rsidRPr="008F4348">
        <w:rPr>
          <w:rFonts w:ascii="Book Antiqua" w:hAnsi="Book Antiqua"/>
          <w:sz w:val="20"/>
          <w:szCs w:val="20"/>
        </w:rPr>
        <w:t xml:space="preserve"> </w:t>
      </w:r>
      <w:r w:rsidRPr="008F4348">
        <w:rPr>
          <w:rFonts w:ascii="Book Antiqua" w:eastAsia="Calibri" w:hAnsi="Book Antiqua"/>
          <w:sz w:val="20"/>
          <w:szCs w:val="20"/>
        </w:rPr>
        <w:t xml:space="preserve">Marcia J. Bunge, “Child, Children,” in </w:t>
      </w:r>
      <w:r w:rsidRPr="008F4348">
        <w:rPr>
          <w:rFonts w:ascii="Book Antiqua" w:eastAsia="Calibri" w:hAnsi="Book Antiqua"/>
          <w:i/>
          <w:iCs/>
          <w:sz w:val="20"/>
          <w:szCs w:val="20"/>
        </w:rPr>
        <w:t>The Blackwell Companion to Christian Ethics</w:t>
      </w:r>
      <w:r w:rsidRPr="008F4348">
        <w:rPr>
          <w:rFonts w:ascii="Book Antiqua" w:eastAsia="Calibri" w:hAnsi="Book Antiqua"/>
          <w:sz w:val="20"/>
          <w:szCs w:val="20"/>
        </w:rPr>
        <w:t>, ed. Stanley Hauerwas and Samuel Wells (Oxford: Blackwell, 2008).</w:t>
      </w:r>
    </w:p>
    <w:p w14:paraId="5DF72F90" w14:textId="6911D252" w:rsidR="00D313FE" w:rsidRPr="008F4348" w:rsidRDefault="00D313FE" w:rsidP="00ED768A">
      <w:pPr>
        <w:pStyle w:val="FootnoteText"/>
        <w:rPr>
          <w:rFonts w:ascii="Book Antiqua" w:hAnsi="Book Antiqua"/>
        </w:rPr>
      </w:pPr>
    </w:p>
  </w:footnote>
  <w:footnote w:id="63">
    <w:p w14:paraId="62CCB8F5" w14:textId="2F887029" w:rsidR="00ED768A" w:rsidRPr="008F4348" w:rsidRDefault="00ED768A" w:rsidP="0074578F">
      <w:pPr>
        <w:spacing w:after="0" w:line="240" w:lineRule="auto"/>
        <w:jc w:val="both"/>
        <w:rPr>
          <w:rFonts w:ascii="Book Antiqua" w:eastAsia="Times New Roman" w:hAnsi="Book Antiqua"/>
          <w:sz w:val="20"/>
          <w:szCs w:val="20"/>
          <w:lang w:val="af-ZA" w:eastAsia="af-ZA"/>
        </w:rPr>
      </w:pPr>
      <w:r w:rsidRPr="008F4348">
        <w:rPr>
          <w:rStyle w:val="FootnoteReference"/>
          <w:rFonts w:ascii="Book Antiqua" w:hAnsi="Book Antiqua"/>
          <w:sz w:val="20"/>
          <w:szCs w:val="20"/>
        </w:rPr>
        <w:footnoteRef/>
      </w:r>
      <w:r w:rsidRPr="008F4348">
        <w:rPr>
          <w:rFonts w:ascii="Book Antiqua" w:hAnsi="Book Antiqua"/>
          <w:sz w:val="20"/>
          <w:szCs w:val="20"/>
        </w:rPr>
        <w:t xml:space="preserve"> </w:t>
      </w:r>
      <w:r w:rsidRPr="008F4348">
        <w:rPr>
          <w:rFonts w:ascii="Book Antiqua" w:eastAsia="Times New Roman" w:hAnsi="Book Antiqua"/>
          <w:sz w:val="20"/>
          <w:szCs w:val="20"/>
          <w:lang w:val="af-ZA" w:eastAsia="af-ZA"/>
        </w:rPr>
        <w:t xml:space="preserve">Kpalam, </w:t>
      </w:r>
      <w:r w:rsidR="00C254EE" w:rsidRPr="008F4348">
        <w:rPr>
          <w:rFonts w:ascii="Book Antiqua" w:eastAsia="Times New Roman" w:hAnsi="Book Antiqua"/>
          <w:sz w:val="20"/>
          <w:szCs w:val="20"/>
          <w:lang w:val="af-ZA" w:eastAsia="af-ZA"/>
        </w:rPr>
        <w:t>“</w:t>
      </w:r>
      <w:r w:rsidRPr="008F4348">
        <w:rPr>
          <w:rFonts w:ascii="Book Antiqua" w:eastAsia="Times New Roman" w:hAnsi="Book Antiqua"/>
          <w:sz w:val="20"/>
          <w:szCs w:val="20"/>
          <w:lang w:val="af-ZA" w:eastAsia="af-ZA"/>
        </w:rPr>
        <w:t>Applying Integrated Theology.</w:t>
      </w:r>
      <w:r w:rsidR="00C254EE" w:rsidRPr="008F4348">
        <w:rPr>
          <w:rFonts w:ascii="Book Antiqua" w:eastAsia="Times New Roman" w:hAnsi="Book Antiqua"/>
          <w:sz w:val="20"/>
          <w:szCs w:val="20"/>
          <w:lang w:val="af-ZA" w:eastAsia="af-ZA"/>
        </w:rPr>
        <w:t>”</w:t>
      </w:r>
    </w:p>
  </w:footnote>
  <w:footnote w:id="64">
    <w:p w14:paraId="327D41EA" w14:textId="1E9211E8" w:rsidR="0020544E" w:rsidRPr="008F4348" w:rsidRDefault="0020544E" w:rsidP="00E807BC">
      <w:pPr>
        <w:spacing w:after="0" w:line="240" w:lineRule="auto"/>
        <w:jc w:val="both"/>
        <w:rPr>
          <w:rFonts w:ascii="Book Antiqua" w:eastAsia="Calibri" w:hAnsi="Book Antiqua"/>
          <w:sz w:val="20"/>
          <w:szCs w:val="20"/>
        </w:rPr>
      </w:pPr>
      <w:r w:rsidRPr="008F4348">
        <w:rPr>
          <w:rStyle w:val="FootnoteReference"/>
          <w:rFonts w:ascii="Book Antiqua" w:hAnsi="Book Antiqua"/>
          <w:sz w:val="20"/>
          <w:szCs w:val="20"/>
        </w:rPr>
        <w:footnoteRef/>
      </w:r>
      <w:r w:rsidRPr="008F4348">
        <w:rPr>
          <w:rFonts w:ascii="Book Antiqua" w:hAnsi="Book Antiqua"/>
          <w:sz w:val="20"/>
          <w:szCs w:val="20"/>
        </w:rPr>
        <w:t xml:space="preserve"> </w:t>
      </w:r>
      <w:r w:rsidRPr="008F4348">
        <w:rPr>
          <w:rFonts w:ascii="Book Antiqua" w:eastAsia="Calibri" w:hAnsi="Book Antiqua"/>
          <w:sz w:val="20"/>
          <w:szCs w:val="20"/>
        </w:rPr>
        <w:t xml:space="preserve">Lovemore Mbigi and Jenny Maree, </w:t>
      </w:r>
      <w:r w:rsidRPr="008F4348">
        <w:rPr>
          <w:rFonts w:ascii="Book Antiqua" w:eastAsia="Calibri" w:hAnsi="Book Antiqua"/>
          <w:i/>
          <w:iCs/>
          <w:sz w:val="20"/>
          <w:szCs w:val="20"/>
        </w:rPr>
        <w:t>Ubuntu: The Spirit of African Transformation Management</w:t>
      </w:r>
      <w:r w:rsidRPr="008F4348">
        <w:rPr>
          <w:rFonts w:ascii="Book Antiqua" w:eastAsia="Calibri" w:hAnsi="Book Antiqua"/>
          <w:sz w:val="20"/>
          <w:szCs w:val="20"/>
        </w:rPr>
        <w:t xml:space="preserve"> (Randburg, South Africa: Knowledge Resources, 1995), 78.</w:t>
      </w:r>
    </w:p>
  </w:footnote>
  <w:footnote w:id="65">
    <w:p w14:paraId="4CDFC6DD" w14:textId="4B4882EC" w:rsidR="0020544E" w:rsidRPr="008F4348" w:rsidRDefault="0020544E" w:rsidP="00E807BC">
      <w:pPr>
        <w:spacing w:after="0" w:line="240" w:lineRule="auto"/>
        <w:jc w:val="both"/>
        <w:rPr>
          <w:rFonts w:ascii="Book Antiqua" w:eastAsia="Calibri" w:hAnsi="Book Antiqua"/>
          <w:sz w:val="20"/>
          <w:szCs w:val="20"/>
        </w:rPr>
      </w:pPr>
      <w:r w:rsidRPr="008F4348">
        <w:rPr>
          <w:rStyle w:val="FootnoteReference"/>
          <w:rFonts w:ascii="Book Antiqua" w:hAnsi="Book Antiqua"/>
          <w:sz w:val="20"/>
          <w:szCs w:val="20"/>
        </w:rPr>
        <w:footnoteRef/>
      </w:r>
      <w:r w:rsidRPr="008F4348">
        <w:rPr>
          <w:rFonts w:ascii="Book Antiqua" w:hAnsi="Book Antiqua"/>
          <w:sz w:val="20"/>
          <w:szCs w:val="20"/>
        </w:rPr>
        <w:t xml:space="preserve"> </w:t>
      </w:r>
      <w:r w:rsidRPr="008F4348">
        <w:rPr>
          <w:rFonts w:ascii="Book Antiqua" w:eastAsia="Calibri" w:hAnsi="Book Antiqua"/>
          <w:sz w:val="20"/>
          <w:szCs w:val="20"/>
        </w:rPr>
        <w:t xml:space="preserve">John S. Mbiti, </w:t>
      </w:r>
      <w:r w:rsidRPr="008F4348">
        <w:rPr>
          <w:rFonts w:ascii="Book Antiqua" w:eastAsia="Calibri" w:hAnsi="Book Antiqua"/>
          <w:i/>
          <w:iCs/>
          <w:sz w:val="20"/>
          <w:szCs w:val="20"/>
        </w:rPr>
        <w:t>African Religions and Philosophy</w:t>
      </w:r>
      <w:r w:rsidRPr="008F4348">
        <w:rPr>
          <w:rFonts w:ascii="Book Antiqua" w:eastAsia="Calibri" w:hAnsi="Book Antiqua"/>
          <w:sz w:val="20"/>
          <w:szCs w:val="20"/>
        </w:rPr>
        <w:t xml:space="preserve"> (</w:t>
      </w:r>
      <w:r w:rsidR="00E10FFE">
        <w:rPr>
          <w:rFonts w:ascii="Book Antiqua" w:eastAsia="Calibri" w:hAnsi="Book Antiqua"/>
          <w:sz w:val="20"/>
          <w:szCs w:val="20"/>
        </w:rPr>
        <w:t xml:space="preserve">Oxford: </w:t>
      </w:r>
      <w:r w:rsidRPr="008F4348">
        <w:rPr>
          <w:rFonts w:ascii="Book Antiqua" w:eastAsia="Calibri" w:hAnsi="Book Antiqua"/>
          <w:sz w:val="20"/>
          <w:szCs w:val="20"/>
        </w:rPr>
        <w:t>Heinemann, 1990).</w:t>
      </w:r>
    </w:p>
  </w:footnote>
  <w:footnote w:id="66">
    <w:p w14:paraId="2B7600C5" w14:textId="77777777" w:rsidR="0020544E" w:rsidRPr="008F4348" w:rsidRDefault="0020544E" w:rsidP="00E807BC">
      <w:pPr>
        <w:spacing w:after="0" w:line="240" w:lineRule="auto"/>
        <w:jc w:val="both"/>
        <w:rPr>
          <w:rFonts w:ascii="Book Antiqua" w:eastAsia="Calibri" w:hAnsi="Book Antiqua"/>
          <w:sz w:val="20"/>
          <w:szCs w:val="20"/>
        </w:rPr>
      </w:pPr>
      <w:r w:rsidRPr="008F4348">
        <w:rPr>
          <w:rStyle w:val="FootnoteReference"/>
          <w:rFonts w:ascii="Book Antiqua" w:hAnsi="Book Antiqua"/>
          <w:sz w:val="20"/>
          <w:szCs w:val="20"/>
        </w:rPr>
        <w:footnoteRef/>
      </w:r>
      <w:r w:rsidRPr="008F4348">
        <w:rPr>
          <w:rFonts w:ascii="Book Antiqua" w:hAnsi="Book Antiqua"/>
          <w:sz w:val="20"/>
          <w:szCs w:val="20"/>
        </w:rPr>
        <w:t xml:space="preserve"> </w:t>
      </w:r>
      <w:r w:rsidRPr="008F4348">
        <w:rPr>
          <w:rFonts w:ascii="Book Antiqua" w:eastAsia="Calibri" w:hAnsi="Book Antiqua"/>
          <w:sz w:val="20"/>
          <w:szCs w:val="20"/>
        </w:rPr>
        <w:t xml:space="preserve">Emmanuel Y. Lartey, </w:t>
      </w:r>
      <w:r w:rsidRPr="008F4348">
        <w:rPr>
          <w:rFonts w:ascii="Book Antiqua" w:eastAsia="Calibri" w:hAnsi="Book Antiqua"/>
          <w:i/>
          <w:iCs/>
          <w:sz w:val="20"/>
          <w:szCs w:val="20"/>
        </w:rPr>
        <w:t>Pastoral Theology in an Intercultural World</w:t>
      </w:r>
      <w:r w:rsidRPr="008F4348">
        <w:rPr>
          <w:rFonts w:ascii="Book Antiqua" w:eastAsia="Calibri" w:hAnsi="Book Antiqua"/>
          <w:sz w:val="20"/>
          <w:szCs w:val="20"/>
        </w:rPr>
        <w:t xml:space="preserve"> (Wipf and Stock Publishers, 2013).</w:t>
      </w:r>
    </w:p>
    <w:p w14:paraId="721B2A9C" w14:textId="690848C6" w:rsidR="0020544E" w:rsidRPr="008F4348" w:rsidRDefault="0020544E" w:rsidP="00E807BC">
      <w:pPr>
        <w:pStyle w:val="FootnoteText"/>
        <w:rPr>
          <w:rFonts w:ascii="Book Antiqua" w:hAnsi="Book Antiqua"/>
        </w:rPr>
      </w:pPr>
    </w:p>
  </w:footnote>
  <w:footnote w:id="67">
    <w:p w14:paraId="0A1DEC27" w14:textId="714B72EE" w:rsidR="0020544E" w:rsidRPr="008F4348" w:rsidRDefault="0020544E" w:rsidP="00C32E9C">
      <w:pPr>
        <w:spacing w:after="0" w:line="240" w:lineRule="auto"/>
        <w:jc w:val="both"/>
        <w:rPr>
          <w:rFonts w:ascii="Book Antiqua" w:eastAsia="Calibri" w:hAnsi="Book Antiqua"/>
          <w:sz w:val="20"/>
          <w:szCs w:val="20"/>
        </w:rPr>
      </w:pPr>
      <w:r w:rsidRPr="008F4348">
        <w:rPr>
          <w:rStyle w:val="FootnoteReference"/>
          <w:rFonts w:ascii="Book Antiqua" w:hAnsi="Book Antiqua"/>
          <w:sz w:val="20"/>
          <w:szCs w:val="20"/>
        </w:rPr>
        <w:footnoteRef/>
      </w:r>
      <w:r w:rsidRPr="008F4348">
        <w:rPr>
          <w:rFonts w:ascii="Book Antiqua" w:hAnsi="Book Antiqua"/>
          <w:sz w:val="20"/>
          <w:szCs w:val="20"/>
        </w:rPr>
        <w:t xml:space="preserve"> </w:t>
      </w:r>
      <w:r w:rsidRPr="008F4348">
        <w:rPr>
          <w:rFonts w:ascii="Book Antiqua" w:eastAsia="Calibri" w:hAnsi="Book Antiqua"/>
          <w:sz w:val="20"/>
          <w:szCs w:val="20"/>
        </w:rPr>
        <w:t xml:space="preserve">Catherine Mowry LaCugna, </w:t>
      </w:r>
      <w:r w:rsidRPr="008F4348">
        <w:rPr>
          <w:rFonts w:ascii="Book Antiqua" w:eastAsia="Calibri" w:hAnsi="Book Antiqua"/>
          <w:i/>
          <w:iCs/>
          <w:sz w:val="20"/>
          <w:szCs w:val="20"/>
        </w:rPr>
        <w:t>God for Us: The Trinity and Christian Life</w:t>
      </w:r>
      <w:r w:rsidRPr="008F4348">
        <w:rPr>
          <w:rFonts w:ascii="Book Antiqua" w:eastAsia="Calibri" w:hAnsi="Book Antiqua"/>
          <w:sz w:val="20"/>
          <w:szCs w:val="20"/>
        </w:rPr>
        <w:t xml:space="preserve"> (San Francisco: HarperSanFrancisco, 1991).</w:t>
      </w:r>
    </w:p>
  </w:footnote>
  <w:footnote w:id="68">
    <w:p w14:paraId="6931EA3F" w14:textId="7684FFE8" w:rsidR="0020544E" w:rsidRPr="008F4348" w:rsidRDefault="0020544E" w:rsidP="00C32E9C">
      <w:pPr>
        <w:spacing w:after="0" w:line="240" w:lineRule="auto"/>
        <w:jc w:val="both"/>
        <w:rPr>
          <w:rFonts w:ascii="Book Antiqua" w:eastAsia="Calibri" w:hAnsi="Book Antiqua"/>
          <w:sz w:val="20"/>
          <w:szCs w:val="20"/>
        </w:rPr>
      </w:pPr>
      <w:r w:rsidRPr="008F4348">
        <w:rPr>
          <w:rStyle w:val="FootnoteReference"/>
          <w:rFonts w:ascii="Book Antiqua" w:hAnsi="Book Antiqua"/>
          <w:sz w:val="20"/>
          <w:szCs w:val="20"/>
        </w:rPr>
        <w:footnoteRef/>
      </w:r>
      <w:r w:rsidRPr="008F4348">
        <w:rPr>
          <w:rFonts w:ascii="Book Antiqua" w:hAnsi="Book Antiqua"/>
          <w:sz w:val="20"/>
          <w:szCs w:val="20"/>
        </w:rPr>
        <w:t xml:space="preserve"> </w:t>
      </w:r>
      <w:r w:rsidRPr="008F4348">
        <w:rPr>
          <w:rFonts w:ascii="Book Antiqua" w:eastAsia="Calibri" w:hAnsi="Book Antiqua"/>
          <w:sz w:val="20"/>
          <w:szCs w:val="20"/>
        </w:rPr>
        <w:t xml:space="preserve">Jürgen Moltmann, </w:t>
      </w:r>
      <w:r w:rsidRPr="008F4348">
        <w:rPr>
          <w:rFonts w:ascii="Book Antiqua" w:eastAsia="Calibri" w:hAnsi="Book Antiqua"/>
          <w:i/>
          <w:iCs/>
          <w:sz w:val="20"/>
          <w:szCs w:val="20"/>
        </w:rPr>
        <w:t>The Trinity and the Kingdom: The Doctrine of God</w:t>
      </w:r>
      <w:r w:rsidRPr="008F4348">
        <w:rPr>
          <w:rFonts w:ascii="Book Antiqua" w:eastAsia="Calibri" w:hAnsi="Book Antiqua"/>
          <w:sz w:val="20"/>
          <w:szCs w:val="20"/>
        </w:rPr>
        <w:t>, trans. Margaret Kohl (Minneapolis: Fortress Press, 1993).</w:t>
      </w:r>
    </w:p>
  </w:footnote>
  <w:footnote w:id="69">
    <w:p w14:paraId="0BD2C8E6" w14:textId="7A0A1CB7" w:rsidR="003E6197" w:rsidRPr="008F4348" w:rsidRDefault="003E6197" w:rsidP="00C32E9C">
      <w:pPr>
        <w:spacing w:after="0" w:line="240" w:lineRule="auto"/>
        <w:jc w:val="both"/>
        <w:rPr>
          <w:rFonts w:ascii="Book Antiqua" w:eastAsia="Calibri" w:hAnsi="Book Antiqua"/>
          <w:kern w:val="2"/>
          <w:sz w:val="20"/>
          <w:szCs w:val="20"/>
          <w14:ligatures w14:val="standardContextual"/>
        </w:rPr>
      </w:pPr>
      <w:r w:rsidRPr="008F4348">
        <w:rPr>
          <w:rStyle w:val="FootnoteReference"/>
          <w:rFonts w:ascii="Book Antiqua" w:hAnsi="Book Antiqua"/>
          <w:sz w:val="20"/>
          <w:szCs w:val="20"/>
        </w:rPr>
        <w:footnoteRef/>
      </w:r>
      <w:r w:rsidRPr="008F4348">
        <w:rPr>
          <w:rFonts w:ascii="Book Antiqua" w:hAnsi="Book Antiqua"/>
          <w:sz w:val="20"/>
          <w:szCs w:val="20"/>
        </w:rPr>
        <w:t xml:space="preserve"> </w:t>
      </w:r>
      <w:r w:rsidRPr="008F4348">
        <w:rPr>
          <w:rFonts w:ascii="Book Antiqua" w:eastAsia="Calibri" w:hAnsi="Book Antiqua"/>
          <w:kern w:val="2"/>
          <w:sz w:val="20"/>
          <w:szCs w:val="20"/>
          <w14:ligatures w14:val="standardContextual"/>
        </w:rPr>
        <w:t xml:space="preserve">Miroslav Volf, </w:t>
      </w:r>
      <w:r w:rsidRPr="008F4348">
        <w:rPr>
          <w:rFonts w:ascii="Book Antiqua" w:eastAsia="Calibri" w:hAnsi="Book Antiqua"/>
          <w:i/>
          <w:iCs/>
          <w:kern w:val="2"/>
          <w:sz w:val="20"/>
          <w:szCs w:val="20"/>
          <w14:ligatures w14:val="standardContextual"/>
        </w:rPr>
        <w:t>After Our Likeness: The Church as the Image of the Trinity</w:t>
      </w:r>
      <w:r w:rsidRPr="008F4348">
        <w:rPr>
          <w:rFonts w:ascii="Book Antiqua" w:eastAsia="Calibri" w:hAnsi="Book Antiqua"/>
          <w:kern w:val="2"/>
          <w:sz w:val="20"/>
          <w:szCs w:val="20"/>
          <w14:ligatures w14:val="standardContextual"/>
        </w:rPr>
        <w:t xml:space="preserve"> (Grand Rapids, MI: Eerdmans, 1998).</w:t>
      </w:r>
    </w:p>
  </w:footnote>
  <w:footnote w:id="70">
    <w:p w14:paraId="6504CCD9" w14:textId="0F3C056A" w:rsidR="003E6197" w:rsidRPr="008F4348" w:rsidRDefault="003E6197" w:rsidP="00C32E9C">
      <w:pPr>
        <w:spacing w:after="0" w:line="240" w:lineRule="auto"/>
        <w:jc w:val="both"/>
        <w:rPr>
          <w:rFonts w:ascii="Book Antiqua" w:eastAsia="Calibri" w:hAnsi="Book Antiqua"/>
          <w:kern w:val="2"/>
          <w:sz w:val="20"/>
          <w:szCs w:val="20"/>
          <w14:ligatures w14:val="standardContextual"/>
        </w:rPr>
      </w:pPr>
      <w:r w:rsidRPr="008F4348">
        <w:rPr>
          <w:rStyle w:val="FootnoteReference"/>
          <w:rFonts w:ascii="Book Antiqua" w:hAnsi="Book Antiqua"/>
          <w:sz w:val="20"/>
          <w:szCs w:val="20"/>
        </w:rPr>
        <w:footnoteRef/>
      </w:r>
      <w:r w:rsidRPr="008F4348">
        <w:rPr>
          <w:rFonts w:ascii="Book Antiqua" w:hAnsi="Book Antiqua"/>
          <w:sz w:val="20"/>
          <w:szCs w:val="20"/>
        </w:rPr>
        <w:t xml:space="preserve"> </w:t>
      </w:r>
      <w:r w:rsidRPr="008F4348">
        <w:rPr>
          <w:rFonts w:ascii="Book Antiqua" w:eastAsia="Calibri" w:hAnsi="Book Antiqua"/>
          <w:kern w:val="2"/>
          <w:sz w:val="20"/>
          <w:szCs w:val="20"/>
          <w14:ligatures w14:val="standardContextual"/>
        </w:rPr>
        <w:t>Smit, “The One and the Many,” 11–12.</w:t>
      </w:r>
    </w:p>
  </w:footnote>
  <w:footnote w:id="71">
    <w:p w14:paraId="083ED8B0" w14:textId="798481C8" w:rsidR="0020544E" w:rsidRPr="008F4348" w:rsidRDefault="0020544E" w:rsidP="007E6420">
      <w:pPr>
        <w:spacing w:after="0" w:line="240" w:lineRule="auto"/>
        <w:jc w:val="both"/>
        <w:rPr>
          <w:rFonts w:ascii="Book Antiqua" w:eastAsia="Calibri" w:hAnsi="Book Antiqua"/>
          <w:sz w:val="20"/>
          <w:szCs w:val="20"/>
        </w:rPr>
      </w:pPr>
      <w:r w:rsidRPr="008F4348">
        <w:rPr>
          <w:rStyle w:val="FootnoteReference"/>
          <w:rFonts w:ascii="Book Antiqua" w:hAnsi="Book Antiqua"/>
          <w:sz w:val="20"/>
          <w:szCs w:val="20"/>
        </w:rPr>
        <w:footnoteRef/>
      </w:r>
      <w:r w:rsidRPr="008F4348">
        <w:rPr>
          <w:rFonts w:ascii="Book Antiqua" w:hAnsi="Book Antiqua"/>
          <w:sz w:val="20"/>
          <w:szCs w:val="20"/>
        </w:rPr>
        <w:t xml:space="preserve"> </w:t>
      </w:r>
      <w:r w:rsidRPr="008F4348">
        <w:rPr>
          <w:rFonts w:ascii="Book Antiqua" w:eastAsia="Calibri" w:hAnsi="Book Antiqua"/>
          <w:sz w:val="20"/>
          <w:szCs w:val="20"/>
        </w:rPr>
        <w:t xml:space="preserve">Neil Pembroke, </w:t>
      </w:r>
      <w:r w:rsidRPr="008F4348">
        <w:rPr>
          <w:rFonts w:ascii="Book Antiqua" w:eastAsia="Calibri" w:hAnsi="Book Antiqua"/>
          <w:i/>
          <w:iCs/>
          <w:sz w:val="20"/>
          <w:szCs w:val="20"/>
        </w:rPr>
        <w:t>The Art of Listening: Dialogue, Shame, and Pastoral Care</w:t>
      </w:r>
      <w:r w:rsidRPr="008F4348">
        <w:rPr>
          <w:rFonts w:ascii="Book Antiqua" w:eastAsia="Calibri" w:hAnsi="Book Antiqua"/>
          <w:sz w:val="20"/>
          <w:szCs w:val="20"/>
        </w:rPr>
        <w:t xml:space="preserve"> (Grand Rapids, MI: Eerdmans, 2006).</w:t>
      </w:r>
    </w:p>
  </w:footnote>
  <w:footnote w:id="72">
    <w:p w14:paraId="7F211892" w14:textId="17578A8C" w:rsidR="0020544E" w:rsidRPr="008F4348" w:rsidRDefault="0020544E" w:rsidP="005C56A3">
      <w:pPr>
        <w:spacing w:after="0" w:line="240" w:lineRule="auto"/>
        <w:jc w:val="both"/>
        <w:rPr>
          <w:rFonts w:ascii="Book Antiqua" w:eastAsia="Calibri" w:hAnsi="Book Antiqua"/>
          <w:sz w:val="20"/>
          <w:szCs w:val="20"/>
        </w:rPr>
      </w:pPr>
      <w:r w:rsidRPr="008F4348">
        <w:rPr>
          <w:rStyle w:val="FootnoteReference"/>
          <w:rFonts w:ascii="Book Antiqua" w:hAnsi="Book Antiqua"/>
          <w:sz w:val="20"/>
          <w:szCs w:val="20"/>
        </w:rPr>
        <w:footnoteRef/>
      </w:r>
      <w:r w:rsidRPr="008F4348">
        <w:rPr>
          <w:rFonts w:ascii="Book Antiqua" w:hAnsi="Book Antiqua"/>
          <w:sz w:val="20"/>
          <w:szCs w:val="20"/>
        </w:rPr>
        <w:t xml:space="preserve"> </w:t>
      </w:r>
      <w:r w:rsidRPr="008F4348">
        <w:rPr>
          <w:rFonts w:ascii="Book Antiqua" w:eastAsia="Calibri" w:hAnsi="Book Antiqua"/>
          <w:sz w:val="20"/>
          <w:szCs w:val="20"/>
        </w:rPr>
        <w:t xml:space="preserve">Lartey, </w:t>
      </w:r>
      <w:r w:rsidRPr="008F4348">
        <w:rPr>
          <w:rFonts w:ascii="Book Antiqua" w:eastAsia="Calibri" w:hAnsi="Book Antiqua"/>
          <w:i/>
          <w:iCs/>
          <w:sz w:val="20"/>
          <w:szCs w:val="20"/>
        </w:rPr>
        <w:t>Pastoral Theology</w:t>
      </w:r>
      <w:r w:rsidRPr="008F4348">
        <w:rPr>
          <w:rFonts w:ascii="Book Antiqua" w:eastAsia="Calibri" w:hAnsi="Book Antiqua"/>
          <w:sz w:val="20"/>
          <w:szCs w:val="20"/>
        </w:rPr>
        <w:t>.</w:t>
      </w:r>
    </w:p>
  </w:footnote>
  <w:footnote w:id="73">
    <w:p w14:paraId="0C2C5841" w14:textId="77777777" w:rsidR="0020544E" w:rsidRPr="008F4348" w:rsidRDefault="0020544E" w:rsidP="005C56A3">
      <w:pPr>
        <w:spacing w:after="0" w:line="240" w:lineRule="auto"/>
        <w:jc w:val="both"/>
        <w:rPr>
          <w:rFonts w:ascii="Book Antiqua" w:eastAsia="Calibri" w:hAnsi="Book Antiqua"/>
          <w:sz w:val="20"/>
          <w:szCs w:val="20"/>
        </w:rPr>
      </w:pPr>
      <w:r w:rsidRPr="008F4348">
        <w:rPr>
          <w:rStyle w:val="FootnoteReference"/>
          <w:rFonts w:ascii="Book Antiqua" w:hAnsi="Book Antiqua"/>
          <w:sz w:val="20"/>
          <w:szCs w:val="20"/>
        </w:rPr>
        <w:footnoteRef/>
      </w:r>
      <w:r w:rsidRPr="008F4348">
        <w:rPr>
          <w:rFonts w:ascii="Book Antiqua" w:hAnsi="Book Antiqua"/>
          <w:sz w:val="20"/>
          <w:szCs w:val="20"/>
        </w:rPr>
        <w:t xml:space="preserve"> </w:t>
      </w:r>
      <w:r w:rsidRPr="008F4348">
        <w:rPr>
          <w:rFonts w:ascii="Book Antiqua" w:eastAsia="Calibri" w:hAnsi="Book Antiqua"/>
          <w:sz w:val="20"/>
          <w:szCs w:val="20"/>
        </w:rPr>
        <w:t>Ebenezer T. Kpalam, “A Pastoral Response to Child Sexual Abuse in Ghana: An Interdisciplinary Study Informed by a Relational View of the Trinity” (PhD diss., North-West University, South Africa, 2021).</w:t>
      </w:r>
    </w:p>
    <w:p w14:paraId="0F57CEA3" w14:textId="1C42639F" w:rsidR="0020544E" w:rsidRPr="008F4348" w:rsidRDefault="0020544E" w:rsidP="005C56A3">
      <w:pPr>
        <w:pStyle w:val="FootnoteText"/>
        <w:rPr>
          <w:rFonts w:ascii="Book Antiqua" w:hAnsi="Book Antiqua"/>
        </w:rPr>
      </w:pPr>
    </w:p>
  </w:footnote>
  <w:footnote w:id="74">
    <w:p w14:paraId="12A31703" w14:textId="77777777" w:rsidR="0020544E" w:rsidRPr="008F4348" w:rsidRDefault="0020544E" w:rsidP="001A19BF">
      <w:pPr>
        <w:spacing w:after="0" w:line="240" w:lineRule="auto"/>
        <w:jc w:val="both"/>
        <w:rPr>
          <w:rFonts w:ascii="Book Antiqua" w:eastAsia="Calibri" w:hAnsi="Book Antiqua"/>
          <w:sz w:val="20"/>
          <w:szCs w:val="20"/>
        </w:rPr>
      </w:pPr>
      <w:r w:rsidRPr="008F4348">
        <w:rPr>
          <w:rStyle w:val="FootnoteReference"/>
          <w:rFonts w:ascii="Book Antiqua" w:hAnsi="Book Antiqua"/>
          <w:sz w:val="20"/>
          <w:szCs w:val="20"/>
        </w:rPr>
        <w:footnoteRef/>
      </w:r>
      <w:r w:rsidRPr="008F4348">
        <w:rPr>
          <w:rFonts w:ascii="Book Antiqua" w:hAnsi="Book Antiqua"/>
          <w:sz w:val="20"/>
          <w:szCs w:val="20"/>
        </w:rPr>
        <w:t xml:space="preserve"> </w:t>
      </w:r>
      <w:r w:rsidRPr="008F4348">
        <w:rPr>
          <w:rFonts w:ascii="Book Antiqua" w:eastAsia="Calibri" w:hAnsi="Book Antiqua"/>
          <w:sz w:val="20"/>
          <w:szCs w:val="20"/>
        </w:rPr>
        <w:t xml:space="preserve">Annemie Dillen, “Can Parents and Children Be Friends? A Relational-Theological Exploration of the Asymmetry and Mutuality Between Parents and Children,” </w:t>
      </w:r>
      <w:r w:rsidRPr="008F4348">
        <w:rPr>
          <w:rFonts w:ascii="Book Antiqua" w:eastAsia="Calibri" w:hAnsi="Book Antiqua"/>
          <w:i/>
          <w:iCs/>
          <w:sz w:val="20"/>
          <w:szCs w:val="20"/>
        </w:rPr>
        <w:t>Journal of Empirical Theology</w:t>
      </w:r>
      <w:r w:rsidRPr="008F4348">
        <w:rPr>
          <w:rFonts w:ascii="Book Antiqua" w:eastAsia="Calibri" w:hAnsi="Book Antiqua"/>
          <w:sz w:val="20"/>
          <w:szCs w:val="20"/>
        </w:rPr>
        <w:t xml:space="preserve"> 24 (2011): 199–216.</w:t>
      </w:r>
    </w:p>
    <w:p w14:paraId="1776AE7E" w14:textId="15B6805F" w:rsidR="0020544E" w:rsidRPr="008F4348" w:rsidRDefault="0020544E" w:rsidP="001A19BF">
      <w:pPr>
        <w:pStyle w:val="FootnoteText"/>
        <w:rPr>
          <w:rFonts w:ascii="Book Antiqua" w:hAnsi="Book Antiqua"/>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72E62" w14:textId="05D116E9" w:rsidR="0055374C" w:rsidRPr="00D667CA" w:rsidRDefault="00BD7B0F">
    <w:pPr>
      <w:pStyle w:val="Header"/>
      <w:rPr>
        <w:rFonts w:ascii="Book Antiqua" w:hAnsi="Book Antiqua"/>
        <w:i/>
        <w:iCs/>
        <w:sz w:val="22"/>
        <w:szCs w:val="22"/>
      </w:rPr>
    </w:pPr>
    <w:r>
      <w:tab/>
    </w:r>
    <w:r w:rsidR="006F266C">
      <w:t xml:space="preserve">                                                                        </w:t>
    </w:r>
    <w:r w:rsidR="00D667CA" w:rsidRPr="00D667CA">
      <w:rPr>
        <w:rFonts w:ascii="Book Antiqua" w:hAnsi="Book Antiqua"/>
        <w:i/>
        <w:iCs/>
        <w:sz w:val="22"/>
        <w:szCs w:val="22"/>
      </w:rPr>
      <w:t>PJTM Vol. 6, No. 2, 2026</w:t>
    </w:r>
    <w:r w:rsidR="00D667CA" w:rsidRPr="00D667CA">
      <w:rPr>
        <w:rFonts w:ascii="Book Antiqua" w:hAnsi="Book Antiqua"/>
        <w:i/>
        <w:iCs/>
        <w:sz w:val="22"/>
        <w:szCs w:val="22"/>
      </w:rPr>
      <w:t xml:space="preserve"> </w:t>
    </w:r>
    <w:r w:rsidRPr="00D667CA">
      <w:rPr>
        <w:rFonts w:ascii="Book Antiqua" w:hAnsi="Book Antiqua"/>
        <w:i/>
        <w:iCs/>
        <w:sz w:val="22"/>
        <w:szCs w:val="22"/>
      </w:rPr>
      <w:t>DOI: 10.62868/pjtm.v6i2.245</w:t>
    </w:r>
  </w:p>
  <w:p w14:paraId="04BAEEF8" w14:textId="13F813B5" w:rsidR="00BD7B0F" w:rsidRDefault="00BD7B0F">
    <w:pPr>
      <w:pStyle w:val="Header"/>
    </w:pPr>
    <w:r>
      <w:t>______________________________________________________________________________</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764F1" w14:textId="77777777" w:rsidR="00CC3E5B" w:rsidRDefault="00CC3E5B" w:rsidP="00A37741">
    <w:pPr>
      <w:spacing w:after="0"/>
      <w:jc w:val="right"/>
    </w:pPr>
    <w:r>
      <w:rPr>
        <w:rFonts w:ascii="Book Antiqua" w:hAnsi="Book Antiqua"/>
        <w:i/>
        <w:iCs/>
        <w:sz w:val="22"/>
        <w:szCs w:val="22"/>
        <w:lang w:val="af-ZA"/>
      </w:rPr>
      <w:t>A Pastoral Care Approach to Child Sexual Abuse in Ghana</w:t>
    </w:r>
  </w:p>
  <w:p w14:paraId="7E7E8E8C" w14:textId="294BA5EC" w:rsidR="00CC3E5B" w:rsidRDefault="00CC3E5B" w:rsidP="007B5F25">
    <w:pPr>
      <w:spacing w:after="0"/>
      <w:jc w:val="right"/>
    </w:pPr>
    <w:r>
      <w:rPr>
        <w:rFonts w:ascii="Book Antiqua" w:hAnsi="Book Antiqua"/>
        <w:i/>
        <w:iCs/>
        <w:sz w:val="22"/>
        <w:szCs w:val="22"/>
        <w:lang w:val="af-ZA"/>
      </w:rPr>
      <w:t>_____________________________________________________________________________________</w:t>
    </w:r>
    <w:r>
      <w:t> </w:t>
    </w:r>
  </w:p>
  <w:p w14:paraId="786FAE52" w14:textId="582F9BB3" w:rsidR="00D16096" w:rsidRPr="00D16096" w:rsidRDefault="00CC3E5B" w:rsidP="007B5F25">
    <w:pPr>
      <w:spacing w:after="0" w:line="240" w:lineRule="auto"/>
      <w:jc w:val="right"/>
      <w:rPr>
        <w:i/>
        <w:iCs/>
        <w:sz w:val="22"/>
        <w:szCs w:val="22"/>
      </w:rPr>
    </w:pPr>
    <w:r>
      <w: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93144" w14:textId="77777777" w:rsidR="00D667CA" w:rsidRDefault="00D667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AB0900"/>
    <w:multiLevelType w:val="multilevel"/>
    <w:tmpl w:val="0E4E44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997323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4747"/>
    <w:rsid w:val="0000100A"/>
    <w:rsid w:val="00005485"/>
    <w:rsid w:val="000153EF"/>
    <w:rsid w:val="00017F22"/>
    <w:rsid w:val="00022C5C"/>
    <w:rsid w:val="00027E9B"/>
    <w:rsid w:val="0003231D"/>
    <w:rsid w:val="00033C69"/>
    <w:rsid w:val="000375A0"/>
    <w:rsid w:val="000430B6"/>
    <w:rsid w:val="000448CF"/>
    <w:rsid w:val="00046FE3"/>
    <w:rsid w:val="000639CA"/>
    <w:rsid w:val="00066C3F"/>
    <w:rsid w:val="00066F80"/>
    <w:rsid w:val="00070264"/>
    <w:rsid w:val="00073500"/>
    <w:rsid w:val="00074878"/>
    <w:rsid w:val="00080897"/>
    <w:rsid w:val="0008359A"/>
    <w:rsid w:val="000864AB"/>
    <w:rsid w:val="00090116"/>
    <w:rsid w:val="00092C0B"/>
    <w:rsid w:val="000955C8"/>
    <w:rsid w:val="00095EFA"/>
    <w:rsid w:val="000A27A0"/>
    <w:rsid w:val="000A3BCA"/>
    <w:rsid w:val="000A3D5D"/>
    <w:rsid w:val="000A6B32"/>
    <w:rsid w:val="000B764A"/>
    <w:rsid w:val="000C1A27"/>
    <w:rsid w:val="000C383A"/>
    <w:rsid w:val="000C470C"/>
    <w:rsid w:val="000C6ABD"/>
    <w:rsid w:val="000D661D"/>
    <w:rsid w:val="000E4075"/>
    <w:rsid w:val="000E6D88"/>
    <w:rsid w:val="000F5280"/>
    <w:rsid w:val="00111703"/>
    <w:rsid w:val="00113A8B"/>
    <w:rsid w:val="00117A13"/>
    <w:rsid w:val="00120E84"/>
    <w:rsid w:val="00122937"/>
    <w:rsid w:val="00126892"/>
    <w:rsid w:val="00134208"/>
    <w:rsid w:val="00135532"/>
    <w:rsid w:val="001421FC"/>
    <w:rsid w:val="00143770"/>
    <w:rsid w:val="00155471"/>
    <w:rsid w:val="00174AC3"/>
    <w:rsid w:val="00176B81"/>
    <w:rsid w:val="00176DD7"/>
    <w:rsid w:val="00177CF4"/>
    <w:rsid w:val="00190012"/>
    <w:rsid w:val="001919C5"/>
    <w:rsid w:val="0019294E"/>
    <w:rsid w:val="001936B8"/>
    <w:rsid w:val="00194138"/>
    <w:rsid w:val="001945F8"/>
    <w:rsid w:val="001A19BF"/>
    <w:rsid w:val="001A311A"/>
    <w:rsid w:val="001A5D40"/>
    <w:rsid w:val="001A7249"/>
    <w:rsid w:val="001B1798"/>
    <w:rsid w:val="001B582E"/>
    <w:rsid w:val="001B5BED"/>
    <w:rsid w:val="001C7092"/>
    <w:rsid w:val="001D609D"/>
    <w:rsid w:val="001D7088"/>
    <w:rsid w:val="001D7C71"/>
    <w:rsid w:val="001E291B"/>
    <w:rsid w:val="001E3362"/>
    <w:rsid w:val="001E43A2"/>
    <w:rsid w:val="001E690A"/>
    <w:rsid w:val="001E6C23"/>
    <w:rsid w:val="001E6FB8"/>
    <w:rsid w:val="001E73E6"/>
    <w:rsid w:val="001F33A9"/>
    <w:rsid w:val="001F3757"/>
    <w:rsid w:val="001F5F79"/>
    <w:rsid w:val="001F772F"/>
    <w:rsid w:val="001F7837"/>
    <w:rsid w:val="002046AA"/>
    <w:rsid w:val="0020544E"/>
    <w:rsid w:val="00206EFB"/>
    <w:rsid w:val="002145DD"/>
    <w:rsid w:val="00214CBA"/>
    <w:rsid w:val="00221381"/>
    <w:rsid w:val="00225B15"/>
    <w:rsid w:val="00233729"/>
    <w:rsid w:val="00234B89"/>
    <w:rsid w:val="00235243"/>
    <w:rsid w:val="00235F0F"/>
    <w:rsid w:val="00245E50"/>
    <w:rsid w:val="00247423"/>
    <w:rsid w:val="00260DD4"/>
    <w:rsid w:val="002631D9"/>
    <w:rsid w:val="00263D89"/>
    <w:rsid w:val="00272009"/>
    <w:rsid w:val="00273298"/>
    <w:rsid w:val="002737FA"/>
    <w:rsid w:val="00275552"/>
    <w:rsid w:val="00281DC9"/>
    <w:rsid w:val="002823E1"/>
    <w:rsid w:val="00285B68"/>
    <w:rsid w:val="00287A15"/>
    <w:rsid w:val="002A03DE"/>
    <w:rsid w:val="002A15DA"/>
    <w:rsid w:val="002B79E9"/>
    <w:rsid w:val="002B7B26"/>
    <w:rsid w:val="002C0E6E"/>
    <w:rsid w:val="002C1D3C"/>
    <w:rsid w:val="002D139D"/>
    <w:rsid w:val="002D3102"/>
    <w:rsid w:val="002D4DC7"/>
    <w:rsid w:val="002D6992"/>
    <w:rsid w:val="002E1041"/>
    <w:rsid w:val="002E16CF"/>
    <w:rsid w:val="002E6223"/>
    <w:rsid w:val="002F2C3A"/>
    <w:rsid w:val="002F3E1F"/>
    <w:rsid w:val="0030117B"/>
    <w:rsid w:val="003063CB"/>
    <w:rsid w:val="00313111"/>
    <w:rsid w:val="00317313"/>
    <w:rsid w:val="00322ED7"/>
    <w:rsid w:val="0032501F"/>
    <w:rsid w:val="00330536"/>
    <w:rsid w:val="003321EE"/>
    <w:rsid w:val="0033450F"/>
    <w:rsid w:val="003355DE"/>
    <w:rsid w:val="003401DF"/>
    <w:rsid w:val="00340BB0"/>
    <w:rsid w:val="00341E7B"/>
    <w:rsid w:val="003423D9"/>
    <w:rsid w:val="00351102"/>
    <w:rsid w:val="003602A9"/>
    <w:rsid w:val="00361DD4"/>
    <w:rsid w:val="00366CE2"/>
    <w:rsid w:val="00371003"/>
    <w:rsid w:val="00372117"/>
    <w:rsid w:val="00372276"/>
    <w:rsid w:val="00372488"/>
    <w:rsid w:val="0037274B"/>
    <w:rsid w:val="00375010"/>
    <w:rsid w:val="0038286E"/>
    <w:rsid w:val="0038498F"/>
    <w:rsid w:val="00384A9A"/>
    <w:rsid w:val="00395D74"/>
    <w:rsid w:val="003969AF"/>
    <w:rsid w:val="003A1F17"/>
    <w:rsid w:val="003A4AF3"/>
    <w:rsid w:val="003A659D"/>
    <w:rsid w:val="003B34DF"/>
    <w:rsid w:val="003B43F6"/>
    <w:rsid w:val="003B47CF"/>
    <w:rsid w:val="003C05D1"/>
    <w:rsid w:val="003C6C2F"/>
    <w:rsid w:val="003C7670"/>
    <w:rsid w:val="003D005B"/>
    <w:rsid w:val="003D4088"/>
    <w:rsid w:val="003E5E37"/>
    <w:rsid w:val="003E6197"/>
    <w:rsid w:val="003F2C7E"/>
    <w:rsid w:val="003F6FA1"/>
    <w:rsid w:val="00405DF5"/>
    <w:rsid w:val="00406227"/>
    <w:rsid w:val="004064CA"/>
    <w:rsid w:val="004070BD"/>
    <w:rsid w:val="00410CB4"/>
    <w:rsid w:val="00414066"/>
    <w:rsid w:val="00421C6F"/>
    <w:rsid w:val="004221DA"/>
    <w:rsid w:val="0042318D"/>
    <w:rsid w:val="00423971"/>
    <w:rsid w:val="00425547"/>
    <w:rsid w:val="00425FD1"/>
    <w:rsid w:val="00426860"/>
    <w:rsid w:val="00426B0C"/>
    <w:rsid w:val="004273FA"/>
    <w:rsid w:val="004306A7"/>
    <w:rsid w:val="0043358B"/>
    <w:rsid w:val="004347A6"/>
    <w:rsid w:val="00435869"/>
    <w:rsid w:val="00453090"/>
    <w:rsid w:val="00456767"/>
    <w:rsid w:val="00456937"/>
    <w:rsid w:val="00467060"/>
    <w:rsid w:val="00467411"/>
    <w:rsid w:val="00470D7A"/>
    <w:rsid w:val="004754DF"/>
    <w:rsid w:val="00476448"/>
    <w:rsid w:val="004772F6"/>
    <w:rsid w:val="00481363"/>
    <w:rsid w:val="0048457B"/>
    <w:rsid w:val="00484958"/>
    <w:rsid w:val="00486299"/>
    <w:rsid w:val="00492156"/>
    <w:rsid w:val="00492417"/>
    <w:rsid w:val="00492EF7"/>
    <w:rsid w:val="00497935"/>
    <w:rsid w:val="004B7739"/>
    <w:rsid w:val="004C0E5D"/>
    <w:rsid w:val="004C1FB1"/>
    <w:rsid w:val="004C384E"/>
    <w:rsid w:val="004C41EE"/>
    <w:rsid w:val="004D6127"/>
    <w:rsid w:val="004D7521"/>
    <w:rsid w:val="004E0EA6"/>
    <w:rsid w:val="004E1C3C"/>
    <w:rsid w:val="004E3A3A"/>
    <w:rsid w:val="004F375D"/>
    <w:rsid w:val="004F4049"/>
    <w:rsid w:val="0050134E"/>
    <w:rsid w:val="005019A6"/>
    <w:rsid w:val="00504122"/>
    <w:rsid w:val="00504BE1"/>
    <w:rsid w:val="0051677C"/>
    <w:rsid w:val="00540375"/>
    <w:rsid w:val="0054197B"/>
    <w:rsid w:val="00542F28"/>
    <w:rsid w:val="0055374C"/>
    <w:rsid w:val="005553F8"/>
    <w:rsid w:val="00560915"/>
    <w:rsid w:val="00561B85"/>
    <w:rsid w:val="00562B4D"/>
    <w:rsid w:val="005635A5"/>
    <w:rsid w:val="005736FD"/>
    <w:rsid w:val="00573E16"/>
    <w:rsid w:val="0057715D"/>
    <w:rsid w:val="005828AA"/>
    <w:rsid w:val="00584F9C"/>
    <w:rsid w:val="00586A13"/>
    <w:rsid w:val="00591539"/>
    <w:rsid w:val="00596D61"/>
    <w:rsid w:val="005A537E"/>
    <w:rsid w:val="005A59FC"/>
    <w:rsid w:val="005B246F"/>
    <w:rsid w:val="005B4EDE"/>
    <w:rsid w:val="005B5073"/>
    <w:rsid w:val="005B59EB"/>
    <w:rsid w:val="005B6BA5"/>
    <w:rsid w:val="005B7B8F"/>
    <w:rsid w:val="005B7E94"/>
    <w:rsid w:val="005C0FFD"/>
    <w:rsid w:val="005C208E"/>
    <w:rsid w:val="005C56A3"/>
    <w:rsid w:val="005C766E"/>
    <w:rsid w:val="005D5E62"/>
    <w:rsid w:val="005E4D3B"/>
    <w:rsid w:val="005E52B8"/>
    <w:rsid w:val="005E540E"/>
    <w:rsid w:val="005F0069"/>
    <w:rsid w:val="005F4910"/>
    <w:rsid w:val="005F7B04"/>
    <w:rsid w:val="00614EF3"/>
    <w:rsid w:val="00623F62"/>
    <w:rsid w:val="006272FB"/>
    <w:rsid w:val="00627625"/>
    <w:rsid w:val="006279AE"/>
    <w:rsid w:val="00627B9D"/>
    <w:rsid w:val="0064407D"/>
    <w:rsid w:val="006613C8"/>
    <w:rsid w:val="006623A5"/>
    <w:rsid w:val="006712C0"/>
    <w:rsid w:val="0067237D"/>
    <w:rsid w:val="00674A13"/>
    <w:rsid w:val="00680AB5"/>
    <w:rsid w:val="0068432D"/>
    <w:rsid w:val="0068588D"/>
    <w:rsid w:val="00687E9A"/>
    <w:rsid w:val="00690CB3"/>
    <w:rsid w:val="00691AE9"/>
    <w:rsid w:val="006A067C"/>
    <w:rsid w:val="006A5069"/>
    <w:rsid w:val="006A57E4"/>
    <w:rsid w:val="006C2C79"/>
    <w:rsid w:val="006C6B01"/>
    <w:rsid w:val="006D3B66"/>
    <w:rsid w:val="006D503E"/>
    <w:rsid w:val="006D515E"/>
    <w:rsid w:val="006E2079"/>
    <w:rsid w:val="006F067C"/>
    <w:rsid w:val="006F266C"/>
    <w:rsid w:val="006F60D4"/>
    <w:rsid w:val="00701904"/>
    <w:rsid w:val="00704AC0"/>
    <w:rsid w:val="00705204"/>
    <w:rsid w:val="00707D7D"/>
    <w:rsid w:val="0071382C"/>
    <w:rsid w:val="00721818"/>
    <w:rsid w:val="007252DF"/>
    <w:rsid w:val="00732188"/>
    <w:rsid w:val="00736206"/>
    <w:rsid w:val="00737B97"/>
    <w:rsid w:val="00737F0C"/>
    <w:rsid w:val="007415A8"/>
    <w:rsid w:val="00743227"/>
    <w:rsid w:val="00744C38"/>
    <w:rsid w:val="0074578F"/>
    <w:rsid w:val="00753DD1"/>
    <w:rsid w:val="00756F79"/>
    <w:rsid w:val="00757542"/>
    <w:rsid w:val="00761D88"/>
    <w:rsid w:val="00765368"/>
    <w:rsid w:val="00765828"/>
    <w:rsid w:val="00766360"/>
    <w:rsid w:val="00774426"/>
    <w:rsid w:val="0077525E"/>
    <w:rsid w:val="00775A1A"/>
    <w:rsid w:val="007802E5"/>
    <w:rsid w:val="007807CB"/>
    <w:rsid w:val="00782BEC"/>
    <w:rsid w:val="0079154B"/>
    <w:rsid w:val="007938F9"/>
    <w:rsid w:val="00794B2E"/>
    <w:rsid w:val="00794F7F"/>
    <w:rsid w:val="007957E5"/>
    <w:rsid w:val="007A4F54"/>
    <w:rsid w:val="007A5D61"/>
    <w:rsid w:val="007A7B88"/>
    <w:rsid w:val="007B5F25"/>
    <w:rsid w:val="007C283E"/>
    <w:rsid w:val="007C370F"/>
    <w:rsid w:val="007C5EE5"/>
    <w:rsid w:val="007D1B01"/>
    <w:rsid w:val="007D2252"/>
    <w:rsid w:val="007D2A68"/>
    <w:rsid w:val="007E4365"/>
    <w:rsid w:val="007E6420"/>
    <w:rsid w:val="007F0F62"/>
    <w:rsid w:val="007F659B"/>
    <w:rsid w:val="0080031B"/>
    <w:rsid w:val="00810B37"/>
    <w:rsid w:val="00812E56"/>
    <w:rsid w:val="00822312"/>
    <w:rsid w:val="00826A5D"/>
    <w:rsid w:val="008307B0"/>
    <w:rsid w:val="0083758A"/>
    <w:rsid w:val="00837CF6"/>
    <w:rsid w:val="00843B37"/>
    <w:rsid w:val="008543C2"/>
    <w:rsid w:val="00854747"/>
    <w:rsid w:val="00854C2B"/>
    <w:rsid w:val="008561B1"/>
    <w:rsid w:val="00861D19"/>
    <w:rsid w:val="00865003"/>
    <w:rsid w:val="00865C74"/>
    <w:rsid w:val="00866012"/>
    <w:rsid w:val="008748F8"/>
    <w:rsid w:val="008802DA"/>
    <w:rsid w:val="008862E9"/>
    <w:rsid w:val="00891E33"/>
    <w:rsid w:val="00896190"/>
    <w:rsid w:val="008A137F"/>
    <w:rsid w:val="008A4D2D"/>
    <w:rsid w:val="008A7D7C"/>
    <w:rsid w:val="008B0302"/>
    <w:rsid w:val="008B149F"/>
    <w:rsid w:val="008B2606"/>
    <w:rsid w:val="008B3CE8"/>
    <w:rsid w:val="008B5022"/>
    <w:rsid w:val="008B7304"/>
    <w:rsid w:val="008C0416"/>
    <w:rsid w:val="008C361F"/>
    <w:rsid w:val="008C6714"/>
    <w:rsid w:val="008D1B6C"/>
    <w:rsid w:val="008D30A2"/>
    <w:rsid w:val="008D5565"/>
    <w:rsid w:val="008D61BD"/>
    <w:rsid w:val="008D72D0"/>
    <w:rsid w:val="008E0398"/>
    <w:rsid w:val="008E03B4"/>
    <w:rsid w:val="008E0989"/>
    <w:rsid w:val="008E3E2E"/>
    <w:rsid w:val="008E500B"/>
    <w:rsid w:val="008F3EB4"/>
    <w:rsid w:val="008F4348"/>
    <w:rsid w:val="008F4A64"/>
    <w:rsid w:val="00904E02"/>
    <w:rsid w:val="00912564"/>
    <w:rsid w:val="0091521C"/>
    <w:rsid w:val="00915959"/>
    <w:rsid w:val="00922C56"/>
    <w:rsid w:val="0092400A"/>
    <w:rsid w:val="0092537A"/>
    <w:rsid w:val="0094714C"/>
    <w:rsid w:val="009525AF"/>
    <w:rsid w:val="00952B95"/>
    <w:rsid w:val="00961949"/>
    <w:rsid w:val="00962437"/>
    <w:rsid w:val="00963773"/>
    <w:rsid w:val="00967A2B"/>
    <w:rsid w:val="00976B7E"/>
    <w:rsid w:val="00986392"/>
    <w:rsid w:val="009930A8"/>
    <w:rsid w:val="009A11C8"/>
    <w:rsid w:val="009A2A92"/>
    <w:rsid w:val="009A2DE2"/>
    <w:rsid w:val="009A3AD9"/>
    <w:rsid w:val="009A6FCB"/>
    <w:rsid w:val="009B272E"/>
    <w:rsid w:val="009B5BDF"/>
    <w:rsid w:val="009C7F1C"/>
    <w:rsid w:val="009D04AC"/>
    <w:rsid w:val="009D3A02"/>
    <w:rsid w:val="009D68CE"/>
    <w:rsid w:val="009E0A37"/>
    <w:rsid w:val="009E0BC3"/>
    <w:rsid w:val="009E7830"/>
    <w:rsid w:val="00A028FC"/>
    <w:rsid w:val="00A1067E"/>
    <w:rsid w:val="00A11B7C"/>
    <w:rsid w:val="00A1238B"/>
    <w:rsid w:val="00A224C3"/>
    <w:rsid w:val="00A23D6A"/>
    <w:rsid w:val="00A25316"/>
    <w:rsid w:val="00A26D9D"/>
    <w:rsid w:val="00A2713E"/>
    <w:rsid w:val="00A37741"/>
    <w:rsid w:val="00A41FED"/>
    <w:rsid w:val="00A42780"/>
    <w:rsid w:val="00A47283"/>
    <w:rsid w:val="00A47D10"/>
    <w:rsid w:val="00A6156F"/>
    <w:rsid w:val="00A7665B"/>
    <w:rsid w:val="00A76684"/>
    <w:rsid w:val="00A767A3"/>
    <w:rsid w:val="00A76C9E"/>
    <w:rsid w:val="00A816FE"/>
    <w:rsid w:val="00A87578"/>
    <w:rsid w:val="00A912C6"/>
    <w:rsid w:val="00A95E16"/>
    <w:rsid w:val="00A96159"/>
    <w:rsid w:val="00A97B92"/>
    <w:rsid w:val="00A97BE6"/>
    <w:rsid w:val="00AA04DE"/>
    <w:rsid w:val="00AA1FEC"/>
    <w:rsid w:val="00AA25B7"/>
    <w:rsid w:val="00AA65F6"/>
    <w:rsid w:val="00AB3D00"/>
    <w:rsid w:val="00AB412C"/>
    <w:rsid w:val="00AB41E8"/>
    <w:rsid w:val="00AB739A"/>
    <w:rsid w:val="00AB7B19"/>
    <w:rsid w:val="00AC2713"/>
    <w:rsid w:val="00AC60DA"/>
    <w:rsid w:val="00AC6857"/>
    <w:rsid w:val="00AD18F4"/>
    <w:rsid w:val="00AD22B2"/>
    <w:rsid w:val="00AD55DF"/>
    <w:rsid w:val="00AD76A8"/>
    <w:rsid w:val="00AE25B0"/>
    <w:rsid w:val="00AE3B24"/>
    <w:rsid w:val="00AE41C4"/>
    <w:rsid w:val="00AE51FC"/>
    <w:rsid w:val="00AF15AE"/>
    <w:rsid w:val="00AF3AB1"/>
    <w:rsid w:val="00AF522F"/>
    <w:rsid w:val="00AF5D80"/>
    <w:rsid w:val="00AF638D"/>
    <w:rsid w:val="00AF79DB"/>
    <w:rsid w:val="00B00541"/>
    <w:rsid w:val="00B1029E"/>
    <w:rsid w:val="00B10F35"/>
    <w:rsid w:val="00B120E7"/>
    <w:rsid w:val="00B1759D"/>
    <w:rsid w:val="00B248C3"/>
    <w:rsid w:val="00B258F1"/>
    <w:rsid w:val="00B44B62"/>
    <w:rsid w:val="00B54860"/>
    <w:rsid w:val="00B62801"/>
    <w:rsid w:val="00B661D5"/>
    <w:rsid w:val="00B671D8"/>
    <w:rsid w:val="00B718FC"/>
    <w:rsid w:val="00B73638"/>
    <w:rsid w:val="00B73FC2"/>
    <w:rsid w:val="00B75F1C"/>
    <w:rsid w:val="00B76562"/>
    <w:rsid w:val="00B8146A"/>
    <w:rsid w:val="00B82849"/>
    <w:rsid w:val="00B83178"/>
    <w:rsid w:val="00B83A99"/>
    <w:rsid w:val="00B842EF"/>
    <w:rsid w:val="00B84CB1"/>
    <w:rsid w:val="00B871DE"/>
    <w:rsid w:val="00B90A99"/>
    <w:rsid w:val="00B94979"/>
    <w:rsid w:val="00BA324D"/>
    <w:rsid w:val="00BA6477"/>
    <w:rsid w:val="00BB0892"/>
    <w:rsid w:val="00BB68BB"/>
    <w:rsid w:val="00BC50A9"/>
    <w:rsid w:val="00BC54BD"/>
    <w:rsid w:val="00BC6E80"/>
    <w:rsid w:val="00BD6861"/>
    <w:rsid w:val="00BD7B0F"/>
    <w:rsid w:val="00BE09A1"/>
    <w:rsid w:val="00BE0D65"/>
    <w:rsid w:val="00BE1D34"/>
    <w:rsid w:val="00BF343C"/>
    <w:rsid w:val="00C028BE"/>
    <w:rsid w:val="00C046B3"/>
    <w:rsid w:val="00C053BA"/>
    <w:rsid w:val="00C05EF4"/>
    <w:rsid w:val="00C07FC3"/>
    <w:rsid w:val="00C11B80"/>
    <w:rsid w:val="00C14AD3"/>
    <w:rsid w:val="00C1520F"/>
    <w:rsid w:val="00C254EE"/>
    <w:rsid w:val="00C30B95"/>
    <w:rsid w:val="00C31CF5"/>
    <w:rsid w:val="00C32E9C"/>
    <w:rsid w:val="00C35365"/>
    <w:rsid w:val="00C363F8"/>
    <w:rsid w:val="00C431BC"/>
    <w:rsid w:val="00C477AA"/>
    <w:rsid w:val="00C601B3"/>
    <w:rsid w:val="00C62075"/>
    <w:rsid w:val="00C62976"/>
    <w:rsid w:val="00C70D97"/>
    <w:rsid w:val="00C72980"/>
    <w:rsid w:val="00C73729"/>
    <w:rsid w:val="00C73F63"/>
    <w:rsid w:val="00C76876"/>
    <w:rsid w:val="00C803AC"/>
    <w:rsid w:val="00C81077"/>
    <w:rsid w:val="00C83404"/>
    <w:rsid w:val="00C90383"/>
    <w:rsid w:val="00C92A2D"/>
    <w:rsid w:val="00C95666"/>
    <w:rsid w:val="00C95943"/>
    <w:rsid w:val="00CA0DD6"/>
    <w:rsid w:val="00CA3E09"/>
    <w:rsid w:val="00CB09F6"/>
    <w:rsid w:val="00CC3E5B"/>
    <w:rsid w:val="00CC4730"/>
    <w:rsid w:val="00CD1BA1"/>
    <w:rsid w:val="00CD213C"/>
    <w:rsid w:val="00CD252A"/>
    <w:rsid w:val="00CD361D"/>
    <w:rsid w:val="00CD6AF7"/>
    <w:rsid w:val="00CE6E12"/>
    <w:rsid w:val="00CF1238"/>
    <w:rsid w:val="00CF2494"/>
    <w:rsid w:val="00CF28EB"/>
    <w:rsid w:val="00CF689B"/>
    <w:rsid w:val="00D041A7"/>
    <w:rsid w:val="00D04669"/>
    <w:rsid w:val="00D1160F"/>
    <w:rsid w:val="00D12F55"/>
    <w:rsid w:val="00D16096"/>
    <w:rsid w:val="00D25192"/>
    <w:rsid w:val="00D307E7"/>
    <w:rsid w:val="00D313FE"/>
    <w:rsid w:val="00D322BE"/>
    <w:rsid w:val="00D34CF5"/>
    <w:rsid w:val="00D36DDB"/>
    <w:rsid w:val="00D37ED7"/>
    <w:rsid w:val="00D40F05"/>
    <w:rsid w:val="00D433A9"/>
    <w:rsid w:val="00D44023"/>
    <w:rsid w:val="00D44EB9"/>
    <w:rsid w:val="00D45CE8"/>
    <w:rsid w:val="00D555EC"/>
    <w:rsid w:val="00D64547"/>
    <w:rsid w:val="00D64B03"/>
    <w:rsid w:val="00D659F8"/>
    <w:rsid w:val="00D667CA"/>
    <w:rsid w:val="00D66EDF"/>
    <w:rsid w:val="00D70D40"/>
    <w:rsid w:val="00D8109B"/>
    <w:rsid w:val="00D83AD4"/>
    <w:rsid w:val="00D849B2"/>
    <w:rsid w:val="00D854A0"/>
    <w:rsid w:val="00D921FF"/>
    <w:rsid w:val="00DA4328"/>
    <w:rsid w:val="00DB1A0D"/>
    <w:rsid w:val="00DB202F"/>
    <w:rsid w:val="00DB311D"/>
    <w:rsid w:val="00DC423A"/>
    <w:rsid w:val="00DC66AD"/>
    <w:rsid w:val="00DC6E15"/>
    <w:rsid w:val="00DC7233"/>
    <w:rsid w:val="00DD0DBA"/>
    <w:rsid w:val="00DE0C9F"/>
    <w:rsid w:val="00DE2D79"/>
    <w:rsid w:val="00DE4675"/>
    <w:rsid w:val="00DE66B6"/>
    <w:rsid w:val="00DF1D2D"/>
    <w:rsid w:val="00DF243F"/>
    <w:rsid w:val="00DF53D6"/>
    <w:rsid w:val="00DF620D"/>
    <w:rsid w:val="00E02254"/>
    <w:rsid w:val="00E10FFE"/>
    <w:rsid w:val="00E114C9"/>
    <w:rsid w:val="00E13378"/>
    <w:rsid w:val="00E13BF0"/>
    <w:rsid w:val="00E140D5"/>
    <w:rsid w:val="00E25891"/>
    <w:rsid w:val="00E41240"/>
    <w:rsid w:val="00E55225"/>
    <w:rsid w:val="00E56C13"/>
    <w:rsid w:val="00E63BFD"/>
    <w:rsid w:val="00E6469D"/>
    <w:rsid w:val="00E64CA5"/>
    <w:rsid w:val="00E665F9"/>
    <w:rsid w:val="00E73586"/>
    <w:rsid w:val="00E80497"/>
    <w:rsid w:val="00E807BC"/>
    <w:rsid w:val="00E82068"/>
    <w:rsid w:val="00E82E40"/>
    <w:rsid w:val="00E85D9F"/>
    <w:rsid w:val="00E9127D"/>
    <w:rsid w:val="00E91308"/>
    <w:rsid w:val="00E95D51"/>
    <w:rsid w:val="00E960DC"/>
    <w:rsid w:val="00EA15B9"/>
    <w:rsid w:val="00EA54AA"/>
    <w:rsid w:val="00EA79AC"/>
    <w:rsid w:val="00EC277A"/>
    <w:rsid w:val="00EC44D6"/>
    <w:rsid w:val="00EC4C7B"/>
    <w:rsid w:val="00ED472E"/>
    <w:rsid w:val="00ED4E38"/>
    <w:rsid w:val="00ED5714"/>
    <w:rsid w:val="00ED6BFA"/>
    <w:rsid w:val="00ED768A"/>
    <w:rsid w:val="00EE25A7"/>
    <w:rsid w:val="00EF1681"/>
    <w:rsid w:val="00EF2B9D"/>
    <w:rsid w:val="00EF64A1"/>
    <w:rsid w:val="00EF66CE"/>
    <w:rsid w:val="00EF6BF6"/>
    <w:rsid w:val="00F04031"/>
    <w:rsid w:val="00F04A2A"/>
    <w:rsid w:val="00F12DB1"/>
    <w:rsid w:val="00F172B4"/>
    <w:rsid w:val="00F23274"/>
    <w:rsid w:val="00F26196"/>
    <w:rsid w:val="00F27044"/>
    <w:rsid w:val="00F279C7"/>
    <w:rsid w:val="00F3119D"/>
    <w:rsid w:val="00F3203E"/>
    <w:rsid w:val="00F444C2"/>
    <w:rsid w:val="00F46AD7"/>
    <w:rsid w:val="00F50660"/>
    <w:rsid w:val="00F54CC7"/>
    <w:rsid w:val="00F65192"/>
    <w:rsid w:val="00F65CF1"/>
    <w:rsid w:val="00F715C5"/>
    <w:rsid w:val="00F908F2"/>
    <w:rsid w:val="00F97A55"/>
    <w:rsid w:val="00FA09FC"/>
    <w:rsid w:val="00FA2DB7"/>
    <w:rsid w:val="00FA2EF9"/>
    <w:rsid w:val="00FA3ABC"/>
    <w:rsid w:val="00FA5E24"/>
    <w:rsid w:val="00FA63C7"/>
    <w:rsid w:val="00FA79DC"/>
    <w:rsid w:val="00FB624F"/>
    <w:rsid w:val="00FC09F5"/>
    <w:rsid w:val="00FD01C9"/>
    <w:rsid w:val="00FE1E00"/>
    <w:rsid w:val="00FE25C8"/>
    <w:rsid w:val="00FE43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B47D8A"/>
  <w15:chartTrackingRefBased/>
  <w15:docId w15:val="{CA95AA08-1399-4CB8-9092-8B1CD6A98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547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547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5474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5474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5474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5474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474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474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474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4747"/>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854747"/>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854747"/>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854747"/>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854747"/>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854747"/>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854747"/>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854747"/>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854747"/>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8547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4747"/>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85474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4747"/>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854747"/>
    <w:pPr>
      <w:spacing w:before="160"/>
      <w:jc w:val="center"/>
    </w:pPr>
    <w:rPr>
      <w:i/>
      <w:iCs/>
      <w:color w:val="404040" w:themeColor="text1" w:themeTint="BF"/>
    </w:rPr>
  </w:style>
  <w:style w:type="character" w:customStyle="1" w:styleId="QuoteChar">
    <w:name w:val="Quote Char"/>
    <w:basedOn w:val="DefaultParagraphFont"/>
    <w:link w:val="Quote"/>
    <w:uiPriority w:val="29"/>
    <w:rsid w:val="00854747"/>
    <w:rPr>
      <w:i/>
      <w:iCs/>
      <w:color w:val="404040" w:themeColor="text1" w:themeTint="BF"/>
      <w:lang w:val="en-GB"/>
    </w:rPr>
  </w:style>
  <w:style w:type="paragraph" w:styleId="ListParagraph">
    <w:name w:val="List Paragraph"/>
    <w:basedOn w:val="Normal"/>
    <w:uiPriority w:val="34"/>
    <w:qFormat/>
    <w:rsid w:val="00854747"/>
    <w:pPr>
      <w:ind w:left="720"/>
      <w:contextualSpacing/>
    </w:pPr>
  </w:style>
  <w:style w:type="character" w:styleId="IntenseEmphasis">
    <w:name w:val="Intense Emphasis"/>
    <w:basedOn w:val="DefaultParagraphFont"/>
    <w:uiPriority w:val="21"/>
    <w:qFormat/>
    <w:rsid w:val="00854747"/>
    <w:rPr>
      <w:i/>
      <w:iCs/>
      <w:color w:val="0F4761" w:themeColor="accent1" w:themeShade="BF"/>
    </w:rPr>
  </w:style>
  <w:style w:type="paragraph" w:styleId="IntenseQuote">
    <w:name w:val="Intense Quote"/>
    <w:basedOn w:val="Normal"/>
    <w:next w:val="Normal"/>
    <w:link w:val="IntenseQuoteChar"/>
    <w:uiPriority w:val="30"/>
    <w:qFormat/>
    <w:rsid w:val="008547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54747"/>
    <w:rPr>
      <w:i/>
      <w:iCs/>
      <w:color w:val="0F4761" w:themeColor="accent1" w:themeShade="BF"/>
      <w:lang w:val="en-GB"/>
    </w:rPr>
  </w:style>
  <w:style w:type="character" w:styleId="IntenseReference">
    <w:name w:val="Intense Reference"/>
    <w:basedOn w:val="DefaultParagraphFont"/>
    <w:uiPriority w:val="32"/>
    <w:qFormat/>
    <w:rsid w:val="00854747"/>
    <w:rPr>
      <w:b/>
      <w:bCs/>
      <w:smallCaps/>
      <w:color w:val="0F4761" w:themeColor="accent1" w:themeShade="BF"/>
      <w:spacing w:val="5"/>
    </w:rPr>
  </w:style>
  <w:style w:type="character" w:styleId="Hyperlink">
    <w:name w:val="Hyperlink"/>
    <w:basedOn w:val="DefaultParagraphFont"/>
    <w:uiPriority w:val="99"/>
    <w:unhideWhenUsed/>
    <w:rsid w:val="00B661D5"/>
    <w:rPr>
      <w:color w:val="467886" w:themeColor="hyperlink"/>
      <w:u w:val="single"/>
    </w:rPr>
  </w:style>
  <w:style w:type="character" w:styleId="UnresolvedMention">
    <w:name w:val="Unresolved Mention"/>
    <w:basedOn w:val="DefaultParagraphFont"/>
    <w:uiPriority w:val="99"/>
    <w:semiHidden/>
    <w:unhideWhenUsed/>
    <w:rsid w:val="00B661D5"/>
    <w:rPr>
      <w:color w:val="605E5C"/>
      <w:shd w:val="clear" w:color="auto" w:fill="E1DFDD"/>
    </w:rPr>
  </w:style>
  <w:style w:type="paragraph" w:styleId="Revision">
    <w:name w:val="Revision"/>
    <w:hidden/>
    <w:uiPriority w:val="99"/>
    <w:semiHidden/>
    <w:rsid w:val="00134208"/>
    <w:pPr>
      <w:spacing w:after="0" w:line="240" w:lineRule="auto"/>
    </w:pPr>
    <w:rPr>
      <w:lang w:val="en-GB"/>
    </w:rPr>
  </w:style>
  <w:style w:type="character" w:styleId="CommentReference">
    <w:name w:val="annotation reference"/>
    <w:basedOn w:val="DefaultParagraphFont"/>
    <w:uiPriority w:val="99"/>
    <w:semiHidden/>
    <w:unhideWhenUsed/>
    <w:rsid w:val="00A25316"/>
    <w:rPr>
      <w:sz w:val="16"/>
      <w:szCs w:val="16"/>
    </w:rPr>
  </w:style>
  <w:style w:type="paragraph" w:styleId="CommentText">
    <w:name w:val="annotation text"/>
    <w:basedOn w:val="Normal"/>
    <w:link w:val="CommentTextChar"/>
    <w:uiPriority w:val="99"/>
    <w:unhideWhenUsed/>
    <w:rsid w:val="00A25316"/>
    <w:pPr>
      <w:spacing w:line="240" w:lineRule="auto"/>
    </w:pPr>
    <w:rPr>
      <w:sz w:val="20"/>
      <w:szCs w:val="20"/>
    </w:rPr>
  </w:style>
  <w:style w:type="character" w:customStyle="1" w:styleId="CommentTextChar">
    <w:name w:val="Comment Text Char"/>
    <w:basedOn w:val="DefaultParagraphFont"/>
    <w:link w:val="CommentText"/>
    <w:uiPriority w:val="99"/>
    <w:rsid w:val="00A25316"/>
    <w:rPr>
      <w:sz w:val="20"/>
      <w:szCs w:val="20"/>
      <w:lang w:val="en-GB"/>
    </w:rPr>
  </w:style>
  <w:style w:type="paragraph" w:styleId="CommentSubject">
    <w:name w:val="annotation subject"/>
    <w:basedOn w:val="CommentText"/>
    <w:next w:val="CommentText"/>
    <w:link w:val="CommentSubjectChar"/>
    <w:uiPriority w:val="99"/>
    <w:semiHidden/>
    <w:unhideWhenUsed/>
    <w:rsid w:val="00A25316"/>
    <w:rPr>
      <w:b/>
      <w:bCs/>
    </w:rPr>
  </w:style>
  <w:style w:type="character" w:customStyle="1" w:styleId="CommentSubjectChar">
    <w:name w:val="Comment Subject Char"/>
    <w:basedOn w:val="CommentTextChar"/>
    <w:link w:val="CommentSubject"/>
    <w:uiPriority w:val="99"/>
    <w:semiHidden/>
    <w:rsid w:val="00A25316"/>
    <w:rPr>
      <w:b/>
      <w:bCs/>
      <w:sz w:val="20"/>
      <w:szCs w:val="20"/>
      <w:lang w:val="en-GB"/>
    </w:rPr>
  </w:style>
  <w:style w:type="paragraph" w:styleId="FootnoteText">
    <w:name w:val="footnote text"/>
    <w:basedOn w:val="Normal"/>
    <w:link w:val="FootnoteTextChar"/>
    <w:uiPriority w:val="99"/>
    <w:semiHidden/>
    <w:unhideWhenUsed/>
    <w:rsid w:val="00DC6E1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C6E15"/>
    <w:rPr>
      <w:sz w:val="20"/>
      <w:szCs w:val="20"/>
      <w:lang w:val="en-GB"/>
    </w:rPr>
  </w:style>
  <w:style w:type="character" w:styleId="FootnoteReference">
    <w:name w:val="footnote reference"/>
    <w:basedOn w:val="DefaultParagraphFont"/>
    <w:uiPriority w:val="99"/>
    <w:semiHidden/>
    <w:unhideWhenUsed/>
    <w:rsid w:val="00DC6E15"/>
    <w:rPr>
      <w:vertAlign w:val="superscript"/>
    </w:rPr>
  </w:style>
  <w:style w:type="paragraph" w:styleId="Header">
    <w:name w:val="header"/>
    <w:basedOn w:val="Normal"/>
    <w:link w:val="HeaderChar"/>
    <w:uiPriority w:val="99"/>
    <w:unhideWhenUsed/>
    <w:rsid w:val="00FA3A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3ABC"/>
  </w:style>
  <w:style w:type="paragraph" w:styleId="Footer">
    <w:name w:val="footer"/>
    <w:basedOn w:val="Normal"/>
    <w:link w:val="FooterChar"/>
    <w:uiPriority w:val="99"/>
    <w:unhideWhenUsed/>
    <w:rsid w:val="00FA3A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3ABC"/>
  </w:style>
  <w:style w:type="character" w:styleId="BookTitle">
    <w:name w:val="Book Title"/>
    <w:basedOn w:val="DefaultParagraphFont"/>
    <w:uiPriority w:val="33"/>
    <w:qFormat/>
    <w:rsid w:val="003B34DF"/>
    <w:rPr>
      <w:b/>
      <w:bCs/>
      <w:i/>
      <w:iCs/>
      <w:spacing w:val="5"/>
    </w:rPr>
  </w:style>
  <w:style w:type="paragraph" w:styleId="Caption">
    <w:name w:val="caption"/>
    <w:basedOn w:val="Normal"/>
    <w:next w:val="Normal"/>
    <w:uiPriority w:val="35"/>
    <w:semiHidden/>
    <w:unhideWhenUsed/>
    <w:qFormat/>
    <w:rsid w:val="003B34DF"/>
    <w:pPr>
      <w:spacing w:after="200" w:line="240" w:lineRule="auto"/>
    </w:pPr>
    <w:rPr>
      <w:i/>
      <w:iCs/>
      <w:color w:val="0E2841" w:themeColor="text2"/>
      <w:sz w:val="18"/>
      <w:szCs w:val="18"/>
    </w:rPr>
  </w:style>
  <w:style w:type="character" w:styleId="Emphasis">
    <w:name w:val="Emphasis"/>
    <w:basedOn w:val="DefaultParagraphFont"/>
    <w:uiPriority w:val="20"/>
    <w:qFormat/>
    <w:rsid w:val="003B34DF"/>
    <w:rPr>
      <w:i/>
      <w:iCs/>
    </w:rPr>
  </w:style>
  <w:style w:type="paragraph" w:styleId="NoSpacing">
    <w:name w:val="No Spacing"/>
    <w:uiPriority w:val="1"/>
    <w:qFormat/>
    <w:rsid w:val="003B34DF"/>
    <w:pPr>
      <w:spacing w:after="0" w:line="240" w:lineRule="auto"/>
    </w:pPr>
  </w:style>
  <w:style w:type="character" w:styleId="Strong">
    <w:name w:val="Strong"/>
    <w:basedOn w:val="DefaultParagraphFont"/>
    <w:uiPriority w:val="22"/>
    <w:qFormat/>
    <w:rsid w:val="003B34DF"/>
    <w:rPr>
      <w:b/>
      <w:bCs/>
    </w:rPr>
  </w:style>
  <w:style w:type="character" w:styleId="SubtleEmphasis">
    <w:name w:val="Subtle Emphasis"/>
    <w:basedOn w:val="DefaultParagraphFont"/>
    <w:uiPriority w:val="19"/>
    <w:qFormat/>
    <w:rsid w:val="003B34DF"/>
    <w:rPr>
      <w:i/>
      <w:iCs/>
      <w:color w:val="404040" w:themeColor="text1" w:themeTint="BF"/>
    </w:rPr>
  </w:style>
  <w:style w:type="character" w:styleId="SubtleReference">
    <w:name w:val="Subtle Reference"/>
    <w:basedOn w:val="DefaultParagraphFont"/>
    <w:uiPriority w:val="31"/>
    <w:qFormat/>
    <w:rsid w:val="003B34DF"/>
    <w:rPr>
      <w:smallCaps/>
      <w:color w:val="5A5A5A" w:themeColor="text1" w:themeTint="A5"/>
    </w:rPr>
  </w:style>
  <w:style w:type="paragraph" w:styleId="TOCHeading">
    <w:name w:val="TOC Heading"/>
    <w:basedOn w:val="Heading1"/>
    <w:next w:val="Normal"/>
    <w:uiPriority w:val="39"/>
    <w:semiHidden/>
    <w:unhideWhenUsed/>
    <w:qFormat/>
    <w:rsid w:val="003B34DF"/>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4102/hts.v73i3.3848" TargetMode="External"/><Relationship Id="rId13" Type="http://schemas.openxmlformats.org/officeDocument/2006/relationships/hyperlink" Target="https://ngtt.journals.ac.za/pub/article/view/273?utm_source=chatgpt.com"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doi.org/10.5952/53-3-4-273"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07/s10943-021-01430-3"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doi.org/10.1016/j.chiabu.2022.105997"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doi.org/10.1016/j.chiabu.2003.07.005" TargetMode="Externa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s://ngtt.journals.ac.za/pub/article/view/273?utm_source=chatgpt.com" TargetMode="External"/><Relationship Id="rId3" Type="http://schemas.openxmlformats.org/officeDocument/2006/relationships/hyperlink" Target="https://doi.org/10.38159/erats.2023976" TargetMode="External"/><Relationship Id="rId7" Type="http://schemas.openxmlformats.org/officeDocument/2006/relationships/hyperlink" Target="https://doi.org/10.5952/53-3-4-273" TargetMode="External"/><Relationship Id="rId2" Type="http://schemas.openxmlformats.org/officeDocument/2006/relationships/hyperlink" Target="https://pubmed.ncbi.nlm.nih.gov/15120925/?utm_source=chatgpt.com" TargetMode="External"/><Relationship Id="rId1" Type="http://schemas.openxmlformats.org/officeDocument/2006/relationships/hyperlink" Target="https://doi.org/10.1016/j.chiabu.2003.07.005" TargetMode="External"/><Relationship Id="rId6" Type="http://schemas.openxmlformats.org/officeDocument/2006/relationships/hyperlink" Target="https://pubmed.ncbi.nlm.nih.gov/15120925/?utm_source=chatgpt.com" TargetMode="External"/><Relationship Id="rId5" Type="http://schemas.openxmlformats.org/officeDocument/2006/relationships/hyperlink" Target="https://doi.org/10.1016/j.chiabu.2003.07.005" TargetMode="External"/><Relationship Id="rId4" Type="http://schemas.openxmlformats.org/officeDocument/2006/relationships/hyperlink" Target="https://doi.org/10.1007/s10943-021-01430-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B57D9C25-98E5-4B4A-8864-0D2B49ED55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17</Pages>
  <Words>4838</Words>
  <Characters>32615</Characters>
  <Application>Microsoft Office Word</Application>
  <DocSecurity>0</DocSecurity>
  <Lines>479</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Ebenezer Tetteh Kpalam</dc:creator>
  <cp:keywords/>
  <dc:description/>
  <cp:lastModifiedBy>Justice Arthur</cp:lastModifiedBy>
  <cp:revision>24</cp:revision>
  <dcterms:created xsi:type="dcterms:W3CDTF">2026-09-28T08:17:00Z</dcterms:created>
  <dcterms:modified xsi:type="dcterms:W3CDTF">2026-10-02T13:05:00Z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d8327136-7e9b-4f12-acf4-7fe07adf3dd1</vt:lpwstr>
  </property>
</Properties>
</file>